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12</w:t>
      </w:r>
      <w:r>
        <w:rPr>
          <w:rFonts w:hint="eastAsia" w:ascii="Arial" w:hAnsi="Arial" w:cs="Arial"/>
          <w:b/>
          <w:bCs/>
          <w:snapToGrid w:val="0"/>
          <w:sz w:val="28"/>
          <w:szCs w:val="28"/>
          <w:lang w:val="en-US" w:eastAsia="zh-CN"/>
        </w:rPr>
        <w:t>7</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highlight w:val="none"/>
          <w:lang w:val="en-GB"/>
        </w:rPr>
        <w:tab/>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R2-2406967</w:t>
      </w:r>
    </w:p>
    <w:p>
      <w:pPr>
        <w:widowControl w:val="0"/>
        <w:tabs>
          <w:tab w:val="left" w:pos="1701"/>
          <w:tab w:val="right" w:pos="9923"/>
        </w:tabs>
        <w:spacing w:before="120"/>
        <w:jc w:val="both"/>
        <w:outlineLvl w:val="0"/>
        <w:rPr>
          <w:rFonts w:hint="eastAsia" w:eastAsiaTheme="minorEastAsia"/>
          <w:b/>
          <w:sz w:val="24"/>
          <w:lang w:val="en-US" w:eastAsia="zh-CN"/>
        </w:rPr>
      </w:pPr>
      <w:r>
        <w:rPr>
          <w:rFonts w:hint="eastAsia" w:ascii="Arial" w:hAnsi="Arial" w:cs="Arial"/>
          <w:b/>
          <w:bCs/>
          <w:sz w:val="28"/>
          <w:szCs w:val="28"/>
          <w:lang w:val="en-US" w:eastAsia="zh-CN"/>
        </w:rPr>
        <w:t>Maastricht, Netherlands, Aug 19 - 23, 2024</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bookmarkStart w:id="7" w:name="_GoBack"/>
      <w:bookmarkEnd w:id="7"/>
    </w:p>
    <w:p>
      <w:pPr>
        <w:overflowPunct w:val="0"/>
        <w:autoSpaceDE w:val="0"/>
        <w:autoSpaceDN w:val="0"/>
        <w:snapToGrid w:val="0"/>
        <w:spacing w:line="24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IoT NTN S</w:t>
      </w:r>
      <w:r>
        <w:rPr>
          <w:rFonts w:hint="eastAsia" w:ascii="Arial" w:hAnsi="Arial" w:cs="Arial"/>
          <w:b/>
          <w:bCs/>
          <w:snapToGrid w:val="0"/>
          <w:sz w:val="28"/>
          <w:szCs w:val="28"/>
          <w:lang w:val="en-US" w:eastAsia="zh-CN"/>
        </w:rPr>
        <w:t xml:space="preserve">tore and </w:t>
      </w:r>
      <w:r>
        <w:rPr>
          <w:rFonts w:hint="eastAsia" w:ascii="Arial" w:hAnsi="Arial" w:cs="Arial"/>
          <w:b/>
          <w:bCs/>
          <w:snapToGrid w:val="0"/>
          <w:sz w:val="28"/>
          <w:szCs w:val="28"/>
        </w:rPr>
        <w:t>F</w:t>
      </w:r>
      <w:r>
        <w:rPr>
          <w:rFonts w:hint="eastAsia" w:ascii="Arial" w:hAnsi="Arial" w:cs="Arial"/>
          <w:b/>
          <w:bCs/>
          <w:snapToGrid w:val="0"/>
          <w:sz w:val="28"/>
          <w:szCs w:val="28"/>
          <w:lang w:val="en-US" w:eastAsia="zh-CN"/>
        </w:rPr>
        <w:t>orward</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8</w:t>
      </w:r>
      <w:r>
        <w:rPr>
          <w:rFonts w:hint="eastAsia" w:ascii="Arial" w:hAnsi="Arial" w:cs="Arial"/>
          <w:b/>
          <w:bCs/>
          <w:snapToGrid w:val="0"/>
          <w:sz w:val="28"/>
          <w:szCs w:val="28"/>
        </w:rPr>
        <w:t>.9.2</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jc w:val="both"/>
        <w:rPr>
          <w:lang w:eastAsia="zh-CN"/>
        </w:rPr>
      </w:pPr>
      <w:bookmarkStart w:id="2" w:name="OLE_LINK58"/>
      <w:bookmarkStart w:id="3" w:name="OLE_LINK57"/>
      <w:r>
        <w:t>Introduction</w:t>
      </w:r>
      <w:bookmarkEnd w:id="2"/>
      <w:bookmarkEnd w:id="3"/>
    </w:p>
    <w:p>
      <w:pPr>
        <w:adjustRightInd/>
        <w:spacing w:after="240" w:line="259" w:lineRule="auto"/>
        <w:contextualSpacing/>
        <w:jc w:val="both"/>
      </w:pPr>
      <w:bookmarkStart w:id="4" w:name="OLE_LINK72"/>
      <w:bookmarkStart w:id="5" w:name="OLE_LINK71"/>
      <w:r>
        <w:rPr>
          <w:rFonts w:hint="eastAsia"/>
          <w:highlight w:val="none"/>
          <w:lang w:val="en-US" w:eastAsia="zh-CN"/>
        </w:rPr>
        <w:t>In the last RAN2#126 meeting, the following agreements [2] were approved as below:</w:t>
      </w:r>
    </w:p>
    <w:p>
      <w:pPr>
        <w:pStyle w:val="295"/>
        <w:pBdr>
          <w:top w:val="single" w:color="auto" w:sz="4" w:space="1"/>
          <w:left w:val="single" w:color="auto" w:sz="4" w:space="4"/>
          <w:bottom w:val="single" w:color="auto" w:sz="4" w:space="1"/>
          <w:right w:val="single" w:color="auto" w:sz="4" w:space="4"/>
        </w:pBdr>
      </w:pPr>
      <w:r>
        <w:t>1.</w:t>
      </w:r>
      <w:r>
        <w:tab/>
      </w:r>
      <w:r>
        <w:t>For the uplink/downlink messages transmission for MO, from RAN2 perspective the following steps are taken as baseline for S&amp;F satellite operation (in case only eNB is on the satellite):</w:t>
      </w:r>
    </w:p>
    <w:p>
      <w:pPr>
        <w:pStyle w:val="295"/>
        <w:pBdr>
          <w:top w:val="single" w:color="auto" w:sz="4" w:space="1"/>
          <w:left w:val="single" w:color="auto" w:sz="4" w:space="4"/>
          <w:bottom w:val="single" w:color="auto" w:sz="4" w:space="1"/>
          <w:right w:val="single" w:color="auto" w:sz="4" w:space="4"/>
        </w:pBdr>
      </w:pPr>
      <w:r>
        <w:tab/>
      </w:r>
      <w:r>
        <w:t xml:space="preserve">1) The UE sends uplink data signalling to eNB when service link is available and the eNB stores it. </w:t>
      </w:r>
    </w:p>
    <w:p>
      <w:pPr>
        <w:pStyle w:val="295"/>
        <w:pBdr>
          <w:top w:val="single" w:color="auto" w:sz="4" w:space="1"/>
          <w:left w:val="single" w:color="auto" w:sz="4" w:space="4"/>
          <w:bottom w:val="single" w:color="auto" w:sz="4" w:space="1"/>
          <w:right w:val="single" w:color="auto" w:sz="4" w:space="4"/>
        </w:pBdr>
      </w:pPr>
      <w:r>
        <w:tab/>
      </w:r>
      <w:r>
        <w:t>2) When feeder link is available, the eNB sends the uplink data/NAS signalling to the CN.</w:t>
      </w:r>
    </w:p>
    <w:p>
      <w:pPr>
        <w:pStyle w:val="295"/>
        <w:pBdr>
          <w:top w:val="single" w:color="auto" w:sz="4" w:space="1"/>
          <w:left w:val="single" w:color="auto" w:sz="4" w:space="4"/>
          <w:bottom w:val="single" w:color="auto" w:sz="4" w:space="1"/>
          <w:right w:val="single" w:color="auto" w:sz="4" w:space="4"/>
        </w:pBdr>
      </w:pPr>
      <w:r>
        <w:tab/>
      </w:r>
      <w:r>
        <w:t>3) The eNB (same or different) receives the downlink data/NAS signalling from the CN and stores it when feeder link is available (and service link is not available).</w:t>
      </w:r>
    </w:p>
    <w:p>
      <w:pPr>
        <w:pStyle w:val="295"/>
        <w:pBdr>
          <w:top w:val="single" w:color="auto" w:sz="4" w:space="1"/>
          <w:left w:val="single" w:color="auto" w:sz="4" w:space="4"/>
          <w:bottom w:val="single" w:color="auto" w:sz="4" w:space="1"/>
          <w:right w:val="single" w:color="auto" w:sz="4" w:space="4"/>
        </w:pBdr>
      </w:pPr>
      <w:r>
        <w:tab/>
      </w:r>
      <w:r>
        <w:t>4) The eNB (same or different) sends the downlink data/signalling to the UE when service link is available again</w:t>
      </w:r>
    </w:p>
    <w:p>
      <w:pPr>
        <w:pStyle w:val="295"/>
        <w:pBdr>
          <w:top w:val="single" w:color="auto" w:sz="4" w:space="1"/>
          <w:left w:val="single" w:color="auto" w:sz="4" w:space="4"/>
          <w:bottom w:val="single" w:color="auto" w:sz="4" w:space="1"/>
          <w:right w:val="single" w:color="auto" w:sz="4" w:space="4"/>
        </w:pBdr>
      </w:pPr>
      <w:r>
        <w:t>2.</w:t>
      </w:r>
      <w:r>
        <w:tab/>
      </w:r>
      <w:r>
        <w:t>S&amp;F indication can be provided by SIB (</w:t>
      </w:r>
      <w:r>
        <w:rPr>
          <w:highlight w:val="yellow"/>
        </w:rPr>
        <w:t>FFS on the details</w:t>
      </w:r>
      <w:r>
        <w:t>). RAN2 assumes that no NAS indication is needed</w:t>
      </w:r>
    </w:p>
    <w:p>
      <w:pPr>
        <w:pStyle w:val="295"/>
        <w:pBdr>
          <w:top w:val="single" w:color="auto" w:sz="4" w:space="1"/>
          <w:left w:val="single" w:color="auto" w:sz="4" w:space="4"/>
          <w:bottom w:val="single" w:color="auto" w:sz="4" w:space="1"/>
          <w:right w:val="single" w:color="auto" w:sz="4" w:space="4"/>
        </w:pBdr>
      </w:pPr>
      <w:r>
        <w:t>3.</w:t>
      </w:r>
      <w:r>
        <w:tab/>
      </w:r>
      <w:r>
        <w:t xml:space="preserve">RAN2 understands legacy UEs </w:t>
      </w:r>
      <w:r>
        <w:rPr>
          <w:highlight w:val="yellow"/>
        </w:rPr>
        <w:t>may</w:t>
      </w:r>
      <w:r>
        <w:t xml:space="preserve"> be barred by legacy cellBarred and cellBarredNTN </w:t>
      </w:r>
    </w:p>
    <w:p>
      <w:pPr>
        <w:adjustRightInd/>
        <w:spacing w:after="240" w:line="259" w:lineRule="auto"/>
        <w:contextualSpacing/>
        <w:jc w:val="both"/>
        <w:rPr>
          <w:rFonts w:hint="eastAsia"/>
          <w:highlight w:val="none"/>
          <w:lang w:val="en-US" w:eastAsia="zh-CN"/>
        </w:rPr>
      </w:pPr>
      <w:r>
        <w:rPr>
          <w:rFonts w:hint="eastAsia"/>
          <w:highlight w:val="none"/>
          <w:lang w:val="en-US" w:eastAsia="zh-CN"/>
        </w:rPr>
        <w:t>Based on the discussions and conclusions in the last two meetings, we are continuing to discuss some RAN2 related aspects in S&amp;F operation.</w:t>
      </w:r>
    </w:p>
    <w:p>
      <w:pPr>
        <w:pStyle w:val="2"/>
        <w:jc w:val="both"/>
      </w:pPr>
      <w:r>
        <w:t>D</w:t>
      </w:r>
      <w:r>
        <w:rPr>
          <w:rFonts w:hint="eastAsia"/>
        </w:rPr>
        <w:t>iscussio</w:t>
      </w:r>
      <w:bookmarkEnd w:id="4"/>
      <w:bookmarkEnd w:id="5"/>
      <w:bookmarkStart w:id="6" w:name="_Hlk59519022"/>
      <w:r>
        <w:rPr>
          <w:rFonts w:hint="eastAsia"/>
          <w:lang w:val="en-US" w:eastAsia="zh-CN"/>
        </w:rPr>
        <w:t>n</w:t>
      </w:r>
    </w:p>
    <w:p>
      <w:pPr>
        <w:pStyle w:val="5"/>
        <w:bidi w:val="0"/>
        <w:rPr>
          <w:rFonts w:hint="default"/>
          <w:b/>
          <w:bCs/>
          <w:lang w:val="en-US" w:eastAsia="zh-CN"/>
        </w:rPr>
      </w:pPr>
      <w:r>
        <w:rPr>
          <w:rFonts w:hint="default"/>
          <w:b/>
          <w:bCs/>
          <w:lang w:val="en-US" w:eastAsia="zh-CN"/>
        </w:rPr>
        <w:t>A</w:t>
      </w:r>
      <w:r>
        <w:rPr>
          <w:rFonts w:hint="eastAsia"/>
          <w:b/>
          <w:bCs/>
          <w:lang w:val="en-US" w:eastAsia="zh-CN"/>
        </w:rPr>
        <w:t>rchitecture</w:t>
      </w:r>
    </w:p>
    <w:p>
      <w:pPr>
        <w:adjustRightInd/>
        <w:spacing w:after="240" w:line="259" w:lineRule="auto"/>
        <w:contextualSpacing/>
        <w:jc w:val="both"/>
        <w:rPr>
          <w:rFonts w:hint="eastAsia"/>
          <w:highlight w:val="none"/>
          <w:lang w:val="en-US" w:eastAsia="zh-CN"/>
        </w:rPr>
      </w:pPr>
      <w:r>
        <w:rPr>
          <w:rFonts w:hint="eastAsia"/>
          <w:highlight w:val="none"/>
          <w:lang w:val="en-US" w:eastAsia="zh-CN"/>
        </w:rPr>
        <w:t>In the last two meetings, RAN2 discuss S&amp;F operation with the assumption that only eNB onboard. After June meeting, SA2 already have some conclusions for S&amp;F architecture solutions which support both MME-split architecture and full CN onboard architecture shown as the following description in 23.700-29 [1]:</w:t>
      </w:r>
    </w:p>
    <w:p>
      <w:pPr>
        <w:pBdr>
          <w:top w:val="single" w:color="auto" w:sz="4" w:space="0"/>
          <w:left w:val="single" w:color="auto" w:sz="4" w:space="0"/>
          <w:bottom w:val="single" w:color="auto" w:sz="4" w:space="0"/>
          <w:right w:val="single" w:color="auto" w:sz="4" w:space="0"/>
        </w:pBdr>
        <w:rPr>
          <w:rFonts w:hint="default" w:eastAsiaTheme="minorEastAsia"/>
          <w:b/>
          <w:bCs/>
          <w:highlight w:val="none"/>
          <w:lang w:val="en-US" w:eastAsia="zh-CN"/>
        </w:rPr>
      </w:pPr>
      <w:r>
        <w:rPr>
          <w:rFonts w:hint="eastAsia"/>
          <w:b/>
          <w:bCs/>
          <w:highlight w:val="none"/>
          <w:lang w:val="en-US" w:eastAsia="zh-CN"/>
        </w:rPr>
        <w:t>23.700-29 Clause 8.2</w:t>
      </w:r>
      <w:r>
        <w:rPr>
          <w:rFonts w:hint="eastAsia"/>
          <w:b/>
          <w:bCs/>
          <w:highlight w:val="none"/>
          <w:lang w:val="en-US" w:eastAsia="zh-CN"/>
        </w:rPr>
        <w:tab/>
      </w:r>
      <w:r>
        <w:rPr>
          <w:rFonts w:hint="eastAsia"/>
          <w:b/>
          <w:bCs/>
          <w:highlight w:val="none"/>
          <w:lang w:val="en-US" w:eastAsia="zh-CN"/>
        </w:rPr>
        <w:t>Conclusion for KI #2: Support of Store and Forward Satellite operation</w:t>
      </w:r>
    </w:p>
    <w:p>
      <w:pPr>
        <w:pBdr>
          <w:top w:val="single" w:color="auto" w:sz="4" w:space="0"/>
          <w:left w:val="single" w:color="auto" w:sz="4" w:space="0"/>
          <w:bottom w:val="single" w:color="auto" w:sz="4" w:space="0"/>
          <w:right w:val="single" w:color="auto" w:sz="4" w:space="0"/>
        </w:pBdr>
        <w:rPr>
          <w:highlight w:val="none"/>
        </w:rPr>
      </w:pPr>
      <w:r>
        <w:rPr>
          <w:highlight w:val="none"/>
        </w:rPr>
        <w:t xml:space="preserve">The following option is agreed for supporting Store and Forward operation with a </w:t>
      </w:r>
      <w:r>
        <w:rPr>
          <w:highlight w:val="yellow"/>
        </w:rPr>
        <w:t>Split MME</w:t>
      </w:r>
      <w:r>
        <w:rPr>
          <w:highlight w:val="none"/>
        </w:rPr>
        <w:t xml:space="preserve"> architecture with the following (informative) principles:</w:t>
      </w:r>
    </w:p>
    <w:p>
      <w:pPr>
        <w:pBdr>
          <w:top w:val="single" w:color="auto" w:sz="4" w:space="0"/>
          <w:left w:val="single" w:color="auto" w:sz="4" w:space="0"/>
          <w:bottom w:val="single" w:color="auto" w:sz="4" w:space="0"/>
          <w:right w:val="single" w:color="auto" w:sz="4" w:space="0"/>
        </w:pBdr>
      </w:pPr>
      <w:r>
        <w:t>The following option is agreed for supporting Store and Forward o</w:t>
      </w:r>
      <w:r>
        <w:rPr>
          <w:highlight w:val="none"/>
        </w:rPr>
        <w:t xml:space="preserve">peration with a </w:t>
      </w:r>
      <w:r>
        <w:rPr>
          <w:highlight w:val="yellow"/>
        </w:rPr>
        <w:t>full CN onboard</w:t>
      </w:r>
      <w:r>
        <w:rPr>
          <w:highlight w:val="none"/>
        </w:rPr>
        <w:t xml:space="preserve"> the satellite with the following (informative) principles:</w:t>
      </w:r>
    </w:p>
    <w:p>
      <w:pPr>
        <w:adjustRightInd/>
        <w:spacing w:after="240" w:line="259" w:lineRule="auto"/>
        <w:contextualSpacing/>
        <w:jc w:val="both"/>
        <w:rPr>
          <w:rFonts w:hint="eastAsia"/>
          <w:highlight w:val="none"/>
          <w:lang w:val="en-US" w:eastAsia="zh-CN"/>
        </w:rPr>
      </w:pPr>
      <w:r>
        <w:rPr>
          <w:rFonts w:hint="eastAsia"/>
          <w:highlight w:val="none"/>
          <w:lang w:val="en-US" w:eastAsia="zh-CN"/>
        </w:rPr>
        <w:t>Thus, from RAN2 point of view, both MME-split architecture and full CN onboard architecture should be supported as well. However, considering there is not so much work for full CN onboard architecture in RAN2 (S&amp;F operation with full CN onboard architecture is mainly focused on CN side), we think it</w:t>
      </w:r>
      <w:r>
        <w:rPr>
          <w:rFonts w:hint="default"/>
          <w:highlight w:val="none"/>
          <w:lang w:val="en-US" w:eastAsia="zh-CN"/>
        </w:rPr>
        <w:t>’</w:t>
      </w:r>
      <w:r>
        <w:rPr>
          <w:rFonts w:hint="eastAsia"/>
          <w:highlight w:val="none"/>
          <w:lang w:val="en-US" w:eastAsia="zh-CN"/>
        </w:rPr>
        <w:t>s better to discuss S&amp;F operation mainly based on MME-split architecture.</w:t>
      </w:r>
    </w:p>
    <w:p>
      <w:pPr>
        <w:adjustRightInd/>
        <w:spacing w:after="240" w:line="259" w:lineRule="auto"/>
        <w:contextualSpacing/>
        <w:jc w:val="both"/>
        <w:rPr>
          <w:rFonts w:hint="default"/>
          <w:b/>
          <w:bCs/>
          <w:highlight w:val="none"/>
          <w:lang w:val="en-US" w:eastAsia="zh-CN"/>
        </w:rPr>
      </w:pPr>
      <w:r>
        <w:rPr>
          <w:rFonts w:hint="eastAsia"/>
          <w:b/>
          <w:bCs/>
          <w:highlight w:val="none"/>
          <w:lang w:val="en-US" w:eastAsia="zh-CN"/>
        </w:rPr>
        <w:t>Proposal 1: It is proposed to support both MME-split architecture and full CN onboard architecture.</w:t>
      </w:r>
    </w:p>
    <w:p>
      <w:pPr>
        <w:adjustRightInd/>
        <w:spacing w:after="240" w:line="259" w:lineRule="auto"/>
        <w:contextualSpacing/>
        <w:jc w:val="both"/>
        <w:rPr>
          <w:rFonts w:hint="eastAsia"/>
          <w:b/>
          <w:bCs/>
          <w:highlight w:val="none"/>
          <w:lang w:val="en-US" w:eastAsia="zh-CN"/>
        </w:rPr>
      </w:pPr>
      <w:r>
        <w:rPr>
          <w:rFonts w:hint="eastAsia"/>
          <w:b/>
          <w:bCs/>
          <w:highlight w:val="none"/>
          <w:lang w:val="en-US" w:eastAsia="zh-CN"/>
        </w:rPr>
        <w:t>Proposal 2: It is proposed to take MME-split architecture as baseline in RAN2 discussion.</w:t>
      </w:r>
    </w:p>
    <w:p>
      <w:pPr>
        <w:adjustRightInd/>
        <w:spacing w:after="240" w:line="259" w:lineRule="auto"/>
        <w:contextualSpacing/>
        <w:jc w:val="both"/>
        <w:rPr>
          <w:rFonts w:hint="eastAsia"/>
          <w:highlight w:val="none"/>
          <w:lang w:val="en-US" w:eastAsia="zh-CN"/>
        </w:rPr>
      </w:pPr>
    </w:p>
    <w:p>
      <w:pPr>
        <w:adjustRightInd/>
        <w:spacing w:after="240" w:line="259" w:lineRule="auto"/>
        <w:contextualSpacing/>
        <w:jc w:val="both"/>
        <w:rPr>
          <w:rFonts w:hint="default"/>
          <w:highlight w:val="none"/>
          <w:lang w:val="en-US" w:eastAsia="zh-CN"/>
        </w:rPr>
      </w:pPr>
      <w:r>
        <w:rPr>
          <w:rFonts w:hint="eastAsia"/>
          <w:highlight w:val="none"/>
          <w:lang w:val="en-US" w:eastAsia="zh-CN"/>
        </w:rPr>
        <w:t>As for whether supporting single satellite architecture or multiple satellites architecture, RAN2 had some early discussion in RAN2#125bis meeting and it seemed that single satellite architecture had some controversies on whether supporting single satellite architecture. In the latest SA2 conclusion [1], SA2 have some related conclusions as below:</w:t>
      </w:r>
    </w:p>
    <w:p>
      <w:pPr>
        <w:pStyle w:val="128"/>
        <w:pBdr>
          <w:top w:val="single" w:color="auto" w:sz="4" w:space="0"/>
          <w:left w:val="single" w:color="auto" w:sz="4" w:space="0"/>
          <w:bottom w:val="single" w:color="auto" w:sz="4" w:space="0"/>
          <w:right w:val="single" w:color="auto" w:sz="4" w:space="0"/>
        </w:pBdr>
        <w:rPr>
          <w:b/>
          <w:bCs/>
          <w:highlight w:val="none"/>
          <w:u w:val="none"/>
        </w:rPr>
      </w:pPr>
      <w:r>
        <w:rPr>
          <w:rFonts w:hint="eastAsia"/>
          <w:b/>
          <w:bCs/>
          <w:highlight w:val="none"/>
          <w:u w:val="none"/>
        </w:rPr>
        <w:t xml:space="preserve">23.700-29 </w:t>
      </w:r>
      <w:r>
        <w:rPr>
          <w:rFonts w:hint="eastAsia"/>
          <w:b/>
          <w:bCs/>
          <w:highlight w:val="none"/>
          <w:u w:val="none"/>
          <w:lang w:val="en-US" w:eastAsia="zh-CN"/>
        </w:rPr>
        <w:t xml:space="preserve">Clause </w:t>
      </w:r>
      <w:r>
        <w:rPr>
          <w:rFonts w:hint="eastAsia"/>
          <w:b/>
          <w:bCs/>
          <w:highlight w:val="none"/>
          <w:u w:val="none"/>
        </w:rPr>
        <w:t>8.2</w:t>
      </w:r>
      <w:r>
        <w:rPr>
          <w:rFonts w:hint="eastAsia"/>
          <w:b/>
          <w:bCs/>
          <w:highlight w:val="none"/>
          <w:u w:val="none"/>
        </w:rPr>
        <w:tab/>
      </w:r>
      <w:r>
        <w:rPr>
          <w:rFonts w:hint="eastAsia"/>
          <w:b/>
          <w:bCs/>
          <w:highlight w:val="none"/>
          <w:u w:val="none"/>
        </w:rPr>
        <w:t>Conclusion for KI #2: Support of Store and Forward Satellite operation</w:t>
      </w:r>
    </w:p>
    <w:p>
      <w:pPr>
        <w:pStyle w:val="128"/>
        <w:pBdr>
          <w:top w:val="single" w:color="auto" w:sz="4" w:space="0"/>
          <w:left w:val="single" w:color="auto" w:sz="4" w:space="0"/>
          <w:bottom w:val="single" w:color="auto" w:sz="4" w:space="0"/>
          <w:right w:val="single" w:color="auto" w:sz="4" w:space="0"/>
        </w:pBdr>
        <w:rPr>
          <w:highlight w:val="none"/>
        </w:rPr>
      </w:pPr>
      <w:r>
        <w:rPr>
          <w:highlight w:val="none"/>
          <w:u w:val="none"/>
        </w:rPr>
        <w:t>b)</w:t>
      </w:r>
      <w:r>
        <w:rPr>
          <w:highlight w:val="none"/>
          <w:u w:val="none"/>
        </w:rPr>
        <w:tab/>
      </w:r>
      <w:r>
        <w:rPr>
          <w:highlight w:val="none"/>
          <w:u w:val="none"/>
        </w:rPr>
        <w:t>Wait timer: In</w:t>
      </w:r>
      <w:r>
        <w:rPr>
          <w:highlight w:val="none"/>
        </w:rPr>
        <w:t>dicates to the UE the time it should wait before re-attempting the Attach/TAU procedure in the</w:t>
      </w:r>
      <w:r>
        <w:rPr>
          <w:highlight w:val="yellow"/>
        </w:rPr>
        <w:t xml:space="preserve"> current or another satellite</w:t>
      </w:r>
      <w:r>
        <w:rPr>
          <w:highlight w:val="none"/>
        </w:rPr>
        <w:t xml:space="preserve"> of the same PLMN.</w:t>
      </w:r>
    </w:p>
    <w:p>
      <w:pPr>
        <w:pStyle w:val="128"/>
        <w:pBdr>
          <w:top w:val="single" w:color="auto" w:sz="4" w:space="0"/>
          <w:left w:val="single" w:color="auto" w:sz="4" w:space="0"/>
          <w:bottom w:val="single" w:color="auto" w:sz="4" w:space="0"/>
          <w:right w:val="single" w:color="auto" w:sz="4" w:space="0"/>
        </w:pBdr>
        <w:rPr>
          <w:highlight w:val="none"/>
        </w:rPr>
      </w:pPr>
      <w:r>
        <w:rPr>
          <w:highlight w:val="none"/>
        </w:rPr>
        <w:t>c)</w:t>
      </w:r>
      <w:r>
        <w:rPr>
          <w:highlight w:val="none"/>
        </w:rPr>
        <w:tab/>
      </w:r>
      <w:r>
        <w:rPr>
          <w:highlight w:val="yellow"/>
        </w:rPr>
        <w:t>Optionally, The list of Satellite IDs</w:t>
      </w:r>
      <w:r>
        <w:rPr>
          <w:highlight w:val="none"/>
        </w:rPr>
        <w:t xml:space="preserve"> over which the UE may re-attempt the Attach/TAU procedure, after wait timer expires. The Satellite IDs are based on the SIB information broadcasted by eNB.</w:t>
      </w:r>
    </w:p>
    <w:p>
      <w:pPr>
        <w:adjustRightInd/>
        <w:spacing w:after="240" w:line="259" w:lineRule="auto"/>
        <w:contextualSpacing/>
        <w:jc w:val="both"/>
        <w:rPr>
          <w:rFonts w:hint="eastAsia"/>
          <w:highlight w:val="none"/>
          <w:lang w:val="en-US" w:eastAsia="zh-CN"/>
        </w:rPr>
      </w:pPr>
      <w:r>
        <w:rPr>
          <w:rFonts w:hint="eastAsia"/>
          <w:highlight w:val="none"/>
          <w:lang w:val="en-US" w:eastAsia="zh-CN"/>
        </w:rPr>
        <w:t>From SA2 conclusion, we can see that when the network rejects UE initial access, the network response with cause value including: 1) Timer. When the timer expires, the UE can attempt to the current/another satellite which means there is one possibility that only one satellite in S&amp;F operation serving for the UE; 2) The list of satellite IDs, the list in the rejection message is optional which can be illustrated as if there is no other available satellite in S&amp;F operation, then no list is needed for only one satellite ID. The above two points can clearly illustrate that SA2 understand there could exist single satellite architecture scenario in S&amp;F operation and SA2 do not exclude single satellite architecture.</w:t>
      </w:r>
    </w:p>
    <w:p>
      <w:pPr>
        <w:adjustRightInd/>
        <w:spacing w:after="240" w:line="259" w:lineRule="auto"/>
        <w:contextualSpacing/>
        <w:jc w:val="both"/>
        <w:rPr>
          <w:rFonts w:hint="eastAsia"/>
          <w:b/>
          <w:bCs/>
          <w:highlight w:val="none"/>
          <w:lang w:val="en-US" w:eastAsia="zh-CN"/>
        </w:rPr>
      </w:pPr>
      <w:r>
        <w:rPr>
          <w:rFonts w:hint="eastAsia"/>
          <w:b/>
          <w:bCs/>
          <w:highlight w:val="none"/>
          <w:lang w:val="en-US" w:eastAsia="zh-CN"/>
        </w:rPr>
        <w:t>Observation 1: SA2 consider S&amp;F operation is suitable for both single satellite architecture and multiple satellite architecture.</w:t>
      </w:r>
    </w:p>
    <w:p>
      <w:pPr>
        <w:adjustRightInd/>
        <w:spacing w:after="240" w:line="259" w:lineRule="auto"/>
        <w:contextualSpacing/>
        <w:jc w:val="both"/>
        <w:rPr>
          <w:rFonts w:hint="eastAsia"/>
          <w:highlight w:val="none"/>
          <w:lang w:val="en-US" w:eastAsia="zh-CN"/>
        </w:rPr>
      </w:pPr>
      <w:r>
        <w:rPr>
          <w:rFonts w:hint="eastAsia"/>
          <w:highlight w:val="none"/>
          <w:lang w:val="en-US" w:eastAsia="zh-CN"/>
        </w:rPr>
        <w:t>From RAN2 point of view, since both architectures are considered in SA2 conclusion, we should not exclude the single satellite architecture out of scope. Besides, considering some countries or areas are still in the early stage of NGSO satellite deployment, it is hard to provide multi satellites serving mode for UE in S&amp;F operation. Thus, it is meaningful to consider single satellite architecture in the early deployment stage.</w:t>
      </w:r>
    </w:p>
    <w:p>
      <w:pPr>
        <w:adjustRightInd/>
        <w:spacing w:after="240" w:line="259" w:lineRule="auto"/>
        <w:contextualSpacing/>
        <w:jc w:val="both"/>
        <w:rPr>
          <w:rFonts w:hint="eastAsia"/>
          <w:b/>
          <w:bCs/>
          <w:highlight w:val="none"/>
          <w:lang w:val="en-US" w:eastAsia="zh-CN"/>
        </w:rPr>
      </w:pPr>
      <w:r>
        <w:rPr>
          <w:rFonts w:hint="eastAsia"/>
          <w:b/>
          <w:bCs/>
          <w:highlight w:val="none"/>
          <w:lang w:val="en-US" w:eastAsia="zh-CN"/>
        </w:rPr>
        <w:t>Proposal 3: It is proposed that RAN2 support both single satellite architecture and multiple satellites architecture in S&amp;F operation.</w:t>
      </w:r>
    </w:p>
    <w:p>
      <w:pPr>
        <w:adjustRightInd/>
        <w:spacing w:after="240" w:line="259" w:lineRule="auto"/>
        <w:contextualSpacing/>
        <w:jc w:val="both"/>
        <w:rPr>
          <w:rFonts w:hint="eastAsia"/>
          <w:highlight w:val="none"/>
          <w:lang w:val="en-US" w:eastAsia="zh-CN"/>
        </w:rPr>
      </w:pPr>
    </w:p>
    <w:p>
      <w:pPr>
        <w:adjustRightInd/>
        <w:spacing w:after="240" w:line="259" w:lineRule="auto"/>
        <w:contextualSpacing/>
        <w:jc w:val="both"/>
        <w:rPr>
          <w:rFonts w:hint="default"/>
          <w:highlight w:val="none"/>
          <w:lang w:val="en-US" w:eastAsia="zh-CN"/>
        </w:rPr>
      </w:pPr>
      <w:r>
        <w:rPr>
          <w:rFonts w:hint="eastAsia"/>
          <w:highlight w:val="none"/>
          <w:lang w:val="en-US" w:eastAsia="zh-CN"/>
        </w:rPr>
        <w:t xml:space="preserve">For the ISL issue, there is no clear conclusion for ISL in SA2 conclusion for now and still under discussion. At least, SA2 had not excluded ISL in S&amp;F operation. Besides, supporting ISL can help to pass UE related informaiton between satellites directly without sending the information to the ground and let ground network send the information back to the other satellite whose procedure has huge latency. ISL architecture is especially beneficial for the initial access procedure which can significantly reduce latency. Thus, we think RAN2 shall not exclude ISL architecture as far now and wait for SA2 conclusion. </w:t>
      </w:r>
    </w:p>
    <w:p>
      <w:pPr>
        <w:adjustRightInd/>
        <w:spacing w:after="240" w:line="259" w:lineRule="auto"/>
        <w:contextualSpacing/>
        <w:jc w:val="both"/>
        <w:rPr>
          <w:rFonts w:hint="eastAsia"/>
          <w:b/>
          <w:bCs/>
          <w:highlight w:val="none"/>
          <w:lang w:val="en-US" w:eastAsia="zh-CN"/>
        </w:rPr>
      </w:pPr>
      <w:r>
        <w:rPr>
          <w:rFonts w:hint="eastAsia"/>
          <w:b/>
          <w:bCs/>
          <w:highlight w:val="none"/>
          <w:lang w:val="en-US" w:eastAsia="zh-CN"/>
        </w:rPr>
        <w:t>Proposal 4: It is proposed that RAN2 shall not exclude ISL and can wait for SA2 conclusion.</w:t>
      </w:r>
    </w:p>
    <w:p>
      <w:pPr>
        <w:adjustRightInd/>
        <w:spacing w:after="240" w:line="259" w:lineRule="auto"/>
        <w:contextualSpacing/>
        <w:jc w:val="both"/>
        <w:rPr>
          <w:rFonts w:hint="default"/>
          <w:highlight w:val="none"/>
          <w:lang w:val="en-US" w:eastAsia="zh-CN"/>
        </w:rPr>
      </w:pPr>
    </w:p>
    <w:p>
      <w:pPr>
        <w:pStyle w:val="5"/>
        <w:bidi w:val="0"/>
        <w:rPr>
          <w:rFonts w:hint="default"/>
          <w:b/>
          <w:bCs/>
          <w:lang w:val="en-US" w:eastAsia="zh-CN"/>
        </w:rPr>
      </w:pPr>
      <w:r>
        <w:rPr>
          <w:rFonts w:hint="default"/>
          <w:b/>
          <w:bCs/>
          <w:lang w:val="en-US" w:eastAsia="zh-CN"/>
        </w:rPr>
        <w:t>Access control</w:t>
      </w:r>
    </w:p>
    <w:p>
      <w:pPr>
        <w:widowControl w:val="0"/>
        <w:numPr>
          <w:ilvl w:val="0"/>
          <w:numId w:val="0"/>
        </w:numPr>
        <w:jc w:val="both"/>
        <w:rPr>
          <w:rFonts w:hint="default" w:eastAsia="宋体"/>
          <w:b w:val="0"/>
          <w:bCs w:val="0"/>
          <w:lang w:val="en-US" w:eastAsia="zh-CN"/>
        </w:rPr>
      </w:pPr>
      <w:r>
        <w:rPr>
          <w:rFonts w:hint="eastAsia" w:eastAsia="宋体"/>
          <w:b w:val="0"/>
          <w:bCs w:val="0"/>
          <w:lang w:val="en-US" w:eastAsia="zh-CN"/>
        </w:rPr>
        <w:t xml:space="preserve">For the question whether the legacy UE can camp on the cell in S&amp;F operation, in the last RAN2#126 meeting, a conclusion is given as </w:t>
      </w:r>
      <w:r>
        <w:rPr>
          <w:rFonts w:hint="default" w:eastAsia="宋体"/>
          <w:b w:val="0"/>
          <w:bCs w:val="0"/>
          <w:lang w:val="en-US" w:eastAsia="zh-CN"/>
        </w:rPr>
        <w:t>“</w:t>
      </w:r>
      <w:r>
        <w:rPr>
          <w:rFonts w:hint="default" w:ascii="Calibri" w:hAnsi="Calibri" w:eastAsia="宋体" w:cs="Times New Roman"/>
          <w:b/>
          <w:bCs/>
          <w:i/>
          <w:iCs/>
          <w:kern w:val="2"/>
          <w:sz w:val="21"/>
          <w:szCs w:val="24"/>
          <w:lang w:val="en-US" w:eastAsia="zh-CN" w:bidi="ar"/>
        </w:rPr>
        <w:t xml:space="preserve">RAN2 understands legacy UEs </w:t>
      </w:r>
      <w:r>
        <w:rPr>
          <w:rFonts w:hint="default" w:ascii="Calibri" w:hAnsi="Calibri" w:eastAsia="宋体" w:cs="Times New Roman"/>
          <w:b/>
          <w:bCs/>
          <w:i/>
          <w:iCs/>
          <w:kern w:val="2"/>
          <w:sz w:val="21"/>
          <w:szCs w:val="24"/>
          <w:highlight w:val="yellow"/>
          <w:lang w:val="en-US" w:eastAsia="zh-CN" w:bidi="ar"/>
        </w:rPr>
        <w:t>may</w:t>
      </w:r>
      <w:r>
        <w:rPr>
          <w:rFonts w:hint="default" w:ascii="Calibri" w:hAnsi="Calibri" w:eastAsia="宋体" w:cs="Times New Roman"/>
          <w:b/>
          <w:bCs/>
          <w:i/>
          <w:iCs/>
          <w:kern w:val="2"/>
          <w:sz w:val="21"/>
          <w:szCs w:val="24"/>
          <w:lang w:val="en-US" w:eastAsia="zh-CN" w:bidi="ar"/>
        </w:rPr>
        <w:t xml:space="preserve"> be barred by legacy cellBarred and cellBarredNTN</w:t>
      </w:r>
      <w:r>
        <w:rPr>
          <w:rFonts w:hint="default" w:eastAsia="宋体"/>
          <w:b w:val="0"/>
          <w:bCs w:val="0"/>
          <w:lang w:val="en-US" w:eastAsia="zh-CN"/>
        </w:rPr>
        <w:t>”</w:t>
      </w:r>
      <w:r>
        <w:rPr>
          <w:rFonts w:hint="eastAsia" w:eastAsia="宋体"/>
          <w:b w:val="0"/>
          <w:bCs w:val="0"/>
          <w:lang w:val="en-US" w:eastAsia="zh-CN"/>
        </w:rPr>
        <w:t xml:space="preserve"> [2]. According to lasted SA2 conclusion [1], we find that SA2 has defined new initial attach reject value as below: 1) A new information indication; 2) Wait timer; 3) The list of Satellite IDs (optional).</w:t>
      </w:r>
    </w:p>
    <w:p>
      <w:pPr>
        <w:widowControl w:val="0"/>
        <w:numPr>
          <w:ilvl w:val="0"/>
          <w:numId w:val="0"/>
        </w:numPr>
        <w:pBdr>
          <w:top w:val="single" w:color="auto" w:sz="4" w:space="0"/>
          <w:left w:val="single" w:color="auto" w:sz="4" w:space="0"/>
          <w:bottom w:val="single" w:color="auto" w:sz="4" w:space="0"/>
          <w:right w:val="single" w:color="auto" w:sz="4" w:space="0"/>
        </w:pBdr>
        <w:jc w:val="both"/>
        <w:rPr>
          <w:rFonts w:hint="eastAsia" w:eastAsia="宋体"/>
          <w:b/>
          <w:bCs/>
          <w:lang w:val="en-US" w:eastAsia="zh-CN"/>
        </w:rPr>
      </w:pPr>
      <w:r>
        <w:rPr>
          <w:rFonts w:hint="eastAsia" w:eastAsia="宋体"/>
          <w:b/>
          <w:bCs/>
          <w:lang w:val="en-US" w:eastAsia="zh-CN"/>
        </w:rPr>
        <w:t>23.700-29 Clause 8.2</w:t>
      </w:r>
      <w:r>
        <w:rPr>
          <w:rFonts w:hint="eastAsia" w:eastAsia="宋体"/>
          <w:b/>
          <w:bCs/>
          <w:lang w:val="en-US" w:eastAsia="zh-CN"/>
        </w:rPr>
        <w:tab/>
      </w:r>
      <w:r>
        <w:rPr>
          <w:rFonts w:hint="eastAsia" w:eastAsia="宋体"/>
          <w:b/>
          <w:bCs/>
          <w:lang w:val="en-US" w:eastAsia="zh-CN"/>
        </w:rPr>
        <w:t>Conclusion for KI #2: Support of Store and Forward Satellite operation</w:t>
      </w:r>
    </w:p>
    <w:p>
      <w:pPr>
        <w:widowControl w:val="0"/>
        <w:numPr>
          <w:ilvl w:val="0"/>
          <w:numId w:val="0"/>
        </w:numPr>
        <w:pBdr>
          <w:top w:val="single" w:color="auto" w:sz="4" w:space="0"/>
          <w:left w:val="single" w:color="auto" w:sz="4" w:space="0"/>
          <w:bottom w:val="single" w:color="auto" w:sz="4" w:space="0"/>
          <w:right w:val="single" w:color="auto" w:sz="4" w:space="0"/>
        </w:pBdr>
        <w:jc w:val="both"/>
        <w:rPr>
          <w:rFonts w:hint="eastAsia" w:eastAsia="宋体"/>
          <w:b w:val="0"/>
          <w:bCs w:val="0"/>
          <w:lang w:val="en-US" w:eastAsia="zh-CN"/>
        </w:rPr>
      </w:pPr>
      <w:r>
        <w:rPr>
          <w:rFonts w:hint="eastAsia" w:eastAsia="宋体"/>
          <w:b w:val="0"/>
          <w:bCs w:val="0"/>
          <w:lang w:val="en-US" w:eastAsia="zh-CN"/>
        </w:rPr>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pPr>
        <w:widowControl w:val="0"/>
        <w:numPr>
          <w:ilvl w:val="0"/>
          <w:numId w:val="0"/>
        </w:numPr>
        <w:pBdr>
          <w:top w:val="single" w:color="auto" w:sz="4" w:space="0"/>
          <w:left w:val="single" w:color="auto" w:sz="4" w:space="0"/>
          <w:bottom w:val="single" w:color="auto" w:sz="4" w:space="0"/>
          <w:right w:val="single" w:color="auto" w:sz="4" w:space="0"/>
        </w:pBdr>
        <w:jc w:val="both"/>
        <w:rPr>
          <w:rFonts w:hint="eastAsia" w:eastAsia="宋体"/>
          <w:b w:val="0"/>
          <w:bCs w:val="0"/>
          <w:lang w:val="en-US" w:eastAsia="zh-CN"/>
        </w:rPr>
      </w:pPr>
      <w:r>
        <w:rPr>
          <w:rFonts w:hint="eastAsia" w:eastAsia="宋体"/>
          <w:b w:val="0"/>
          <w:bCs w:val="0"/>
          <w:lang w:val="en-US" w:eastAsia="zh-CN"/>
        </w:rPr>
        <w:t>a)</w:t>
      </w:r>
      <w:r>
        <w:rPr>
          <w:rFonts w:hint="eastAsia" w:eastAsia="宋体"/>
          <w:b w:val="0"/>
          <w:bCs w:val="0"/>
          <w:lang w:val="en-US" w:eastAsia="zh-CN"/>
        </w:rPr>
        <w:tab/>
      </w:r>
      <w:r>
        <w:rPr>
          <w:rFonts w:hint="eastAsia" w:eastAsia="宋体"/>
          <w:b w:val="0"/>
          <w:bCs w:val="0"/>
          <w:highlight w:val="yellow"/>
          <w:lang w:val="en-US" w:eastAsia="zh-CN"/>
        </w:rPr>
        <w:t>A new information indicating the UE that attach or TAU procedure cannot be completed because of the S&amp;F operation</w:t>
      </w:r>
      <w:r>
        <w:rPr>
          <w:rFonts w:hint="eastAsia" w:eastAsia="宋体"/>
          <w:b w:val="0"/>
          <w:bCs w:val="0"/>
          <w:lang w:val="en-US" w:eastAsia="zh-CN"/>
        </w:rPr>
        <w:t xml:space="preserve">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pPr>
        <w:widowControl w:val="0"/>
        <w:numPr>
          <w:ilvl w:val="0"/>
          <w:numId w:val="0"/>
        </w:numPr>
        <w:pBdr>
          <w:top w:val="single" w:color="auto" w:sz="4" w:space="0"/>
          <w:left w:val="single" w:color="auto" w:sz="4" w:space="0"/>
          <w:bottom w:val="single" w:color="auto" w:sz="4" w:space="0"/>
          <w:right w:val="single" w:color="auto" w:sz="4" w:space="0"/>
        </w:pBdr>
        <w:jc w:val="both"/>
        <w:rPr>
          <w:rFonts w:hint="eastAsia" w:eastAsia="宋体"/>
          <w:b w:val="0"/>
          <w:bCs w:val="0"/>
          <w:lang w:val="en-US" w:eastAsia="zh-CN"/>
        </w:rPr>
      </w:pPr>
      <w:r>
        <w:rPr>
          <w:rFonts w:hint="eastAsia" w:eastAsia="宋体"/>
          <w:b w:val="0"/>
          <w:bCs w:val="0"/>
          <w:lang w:val="en-US" w:eastAsia="zh-CN"/>
        </w:rPr>
        <w:t>b)</w:t>
      </w:r>
      <w:r>
        <w:rPr>
          <w:rFonts w:hint="eastAsia" w:eastAsia="宋体"/>
          <w:b w:val="0"/>
          <w:bCs w:val="0"/>
          <w:lang w:val="en-US" w:eastAsia="zh-CN"/>
        </w:rPr>
        <w:tab/>
      </w:r>
      <w:r>
        <w:rPr>
          <w:rFonts w:hint="eastAsia" w:eastAsia="宋体"/>
          <w:b w:val="0"/>
          <w:bCs w:val="0"/>
          <w:highlight w:val="yellow"/>
          <w:lang w:val="en-US" w:eastAsia="zh-CN"/>
        </w:rPr>
        <w:t>Wait timer</w:t>
      </w:r>
      <w:r>
        <w:rPr>
          <w:rFonts w:hint="eastAsia" w:eastAsia="宋体"/>
          <w:b w:val="0"/>
          <w:bCs w:val="0"/>
          <w:lang w:val="en-US" w:eastAsia="zh-CN"/>
        </w:rPr>
        <w:t>: Indicates to the UE the time it should wait before re-attempting the Attach/TAU procedure in the current or another satellite of the same PLMN.</w:t>
      </w:r>
    </w:p>
    <w:p>
      <w:pPr>
        <w:widowControl w:val="0"/>
        <w:numPr>
          <w:ilvl w:val="0"/>
          <w:numId w:val="0"/>
        </w:numPr>
        <w:pBdr>
          <w:top w:val="single" w:color="auto" w:sz="4" w:space="0"/>
          <w:left w:val="single" w:color="auto" w:sz="4" w:space="0"/>
          <w:bottom w:val="single" w:color="auto" w:sz="4" w:space="0"/>
          <w:right w:val="single" w:color="auto" w:sz="4" w:space="0"/>
        </w:pBdr>
        <w:jc w:val="both"/>
        <w:rPr>
          <w:rFonts w:hint="eastAsia" w:eastAsia="宋体"/>
          <w:b w:val="0"/>
          <w:bCs w:val="0"/>
          <w:lang w:val="en-US" w:eastAsia="zh-CN"/>
        </w:rPr>
      </w:pPr>
      <w:r>
        <w:rPr>
          <w:rFonts w:hint="eastAsia" w:eastAsia="宋体"/>
          <w:b w:val="0"/>
          <w:bCs w:val="0"/>
          <w:lang w:val="en-US" w:eastAsia="zh-CN"/>
        </w:rPr>
        <w:t>c)</w:t>
      </w:r>
      <w:r>
        <w:rPr>
          <w:rFonts w:hint="eastAsia" w:eastAsia="宋体"/>
          <w:b w:val="0"/>
          <w:bCs w:val="0"/>
          <w:lang w:val="en-US" w:eastAsia="zh-CN"/>
        </w:rPr>
        <w:tab/>
      </w:r>
      <w:r>
        <w:rPr>
          <w:rFonts w:hint="eastAsia" w:eastAsia="宋体"/>
          <w:b w:val="0"/>
          <w:bCs w:val="0"/>
          <w:lang w:val="en-US" w:eastAsia="zh-CN"/>
        </w:rPr>
        <w:t xml:space="preserve">Optionally, </w:t>
      </w:r>
      <w:r>
        <w:rPr>
          <w:rFonts w:hint="eastAsia" w:eastAsia="宋体"/>
          <w:b w:val="0"/>
          <w:bCs w:val="0"/>
          <w:highlight w:val="yellow"/>
          <w:lang w:val="en-US" w:eastAsia="zh-CN"/>
        </w:rPr>
        <w:t>The list of Satellite IDs</w:t>
      </w:r>
      <w:r>
        <w:rPr>
          <w:rFonts w:hint="eastAsia" w:eastAsia="宋体"/>
          <w:b w:val="0"/>
          <w:bCs w:val="0"/>
          <w:lang w:val="en-US" w:eastAsia="zh-CN"/>
        </w:rPr>
        <w:t xml:space="preserve"> over which the UE may re-attempt the Attach/TAU procedure, after wait timer expires. The Satellite IDs are based on the SIB information broadcasted by eNB.</w:t>
      </w:r>
    </w:p>
    <w:p>
      <w:pPr>
        <w:widowControl w:val="0"/>
        <w:numPr>
          <w:ilvl w:val="0"/>
          <w:numId w:val="0"/>
        </w:numPr>
        <w:jc w:val="both"/>
        <w:rPr>
          <w:rFonts w:hint="default" w:eastAsia="宋体"/>
          <w:b w:val="0"/>
          <w:bCs w:val="0"/>
          <w:lang w:val="en-US" w:eastAsia="zh-CN"/>
        </w:rPr>
      </w:pPr>
      <w:r>
        <w:rPr>
          <w:rFonts w:hint="eastAsia" w:eastAsia="宋体"/>
          <w:b w:val="0"/>
          <w:bCs w:val="0"/>
          <w:lang w:val="en-US" w:eastAsia="zh-CN"/>
        </w:rPr>
        <w:t xml:space="preserve">The legacy UE can not recognize these new indications including in Reject message. Thus when the legacy UE makes initial attach in the cell with S&amp;F operation, it will receive the reject message, regard this cell as not available and try to detach from the cell. Thus, instead of letting legacy UE send RA request and reject it, it is better to announce in the SIB message that legacy UEs and Rel-19 UE not supporting S&amp;F operation should be barred and not allowed to camp on. In this way, both UE and satellite can save lots of signalling overhead and power consumption. Thus, we suggest to revise the last meeting agreement to </w:t>
      </w:r>
      <w:r>
        <w:rPr>
          <w:rFonts w:hint="default" w:eastAsia="宋体"/>
          <w:b w:val="0"/>
          <w:bCs w:val="0"/>
          <w:lang w:val="en-US" w:eastAsia="zh-CN"/>
        </w:rPr>
        <w:t>“</w:t>
      </w:r>
      <w:r>
        <w:rPr>
          <w:rFonts w:hint="default" w:eastAsia="宋体"/>
          <w:b/>
          <w:bCs/>
          <w:i/>
          <w:iCs/>
          <w:lang w:val="en-US" w:eastAsia="zh-CN"/>
        </w:rPr>
        <w:t xml:space="preserve">legacy UEs </w:t>
      </w:r>
      <w:r>
        <w:rPr>
          <w:rFonts w:hint="default" w:eastAsia="宋体"/>
          <w:b/>
          <w:bCs/>
          <w:i/>
          <w:iCs/>
          <w:highlight w:val="yellow"/>
          <w:lang w:val="en-US" w:eastAsia="zh-CN"/>
        </w:rPr>
        <w:t>should</w:t>
      </w:r>
      <w:r>
        <w:rPr>
          <w:rFonts w:hint="default" w:eastAsia="宋体"/>
          <w:b/>
          <w:bCs/>
          <w:i/>
          <w:iCs/>
          <w:lang w:val="en-US" w:eastAsia="zh-CN"/>
        </w:rPr>
        <w:t xml:space="preserve"> be barred by legacy cellBarred and cellBarredNTN</w:t>
      </w:r>
      <w:r>
        <w:rPr>
          <w:rFonts w:hint="default" w:eastAsia="宋体"/>
          <w:b w:val="0"/>
          <w:bCs w:val="0"/>
          <w:lang w:val="en-US" w:eastAsia="zh-CN"/>
        </w:rPr>
        <w:t>”</w:t>
      </w:r>
    </w:p>
    <w:p>
      <w:pPr>
        <w:widowControl w:val="0"/>
        <w:numPr>
          <w:ilvl w:val="0"/>
          <w:numId w:val="0"/>
        </w:numPr>
        <w:jc w:val="both"/>
        <w:rPr>
          <w:rFonts w:hint="default" w:eastAsia="宋体"/>
          <w:b/>
          <w:bCs/>
          <w:lang w:val="en-US" w:eastAsia="zh-CN"/>
        </w:rPr>
      </w:pPr>
      <w:r>
        <w:rPr>
          <w:rFonts w:hint="eastAsia" w:eastAsia="宋体"/>
          <w:b/>
          <w:bCs/>
          <w:lang w:val="en-US" w:eastAsia="zh-CN"/>
        </w:rPr>
        <w:t>Observation 2: Legacy UEs and Rel-19 UE not supporting S&amp;F operation can not recognize the new attach or TAU reject message.</w:t>
      </w:r>
    </w:p>
    <w:p>
      <w:pPr>
        <w:widowControl w:val="0"/>
        <w:numPr>
          <w:ilvl w:val="0"/>
          <w:numId w:val="0"/>
        </w:numPr>
        <w:jc w:val="both"/>
        <w:rPr>
          <w:rFonts w:hint="default" w:eastAsia="宋体"/>
          <w:b/>
          <w:bCs/>
          <w:lang w:val="en-US" w:eastAsia="zh-CN"/>
        </w:rPr>
      </w:pPr>
      <w:r>
        <w:rPr>
          <w:rFonts w:hint="eastAsia" w:eastAsia="宋体"/>
          <w:b/>
          <w:bCs/>
          <w:lang w:val="en-US" w:eastAsia="zh-CN"/>
        </w:rPr>
        <w:t>Proposal 5</w:t>
      </w:r>
      <w:r>
        <w:rPr>
          <w:rFonts w:hint="default" w:eastAsia="宋体"/>
          <w:b/>
          <w:bCs/>
          <w:lang w:val="en-US" w:eastAsia="zh-CN"/>
        </w:rPr>
        <w:t xml:space="preserve">: </w:t>
      </w:r>
      <w:r>
        <w:rPr>
          <w:rFonts w:hint="eastAsia" w:eastAsia="宋体"/>
          <w:b/>
          <w:bCs/>
          <w:lang w:val="en-US" w:eastAsia="zh-CN"/>
        </w:rPr>
        <w:t>It is proposed that legacy UEs should be barred by legacy cellBarred and cellBarredNTN</w:t>
      </w:r>
      <w:r>
        <w:rPr>
          <w:rFonts w:hint="default" w:eastAsia="宋体"/>
          <w:b/>
          <w:bCs/>
          <w:lang w:val="en-US" w:eastAsia="zh-CN"/>
        </w:rPr>
        <w:t>.</w:t>
      </w:r>
    </w:p>
    <w:p>
      <w:pPr>
        <w:widowControl w:val="0"/>
        <w:numPr>
          <w:ilvl w:val="0"/>
          <w:numId w:val="0"/>
        </w:numPr>
        <w:jc w:val="both"/>
        <w:rPr>
          <w:rFonts w:hint="eastAsia" w:eastAsia="宋体"/>
          <w:b/>
          <w:bCs/>
          <w:lang w:val="en-US" w:eastAsia="zh-CN"/>
        </w:rPr>
      </w:pPr>
    </w:p>
    <w:p>
      <w:pPr>
        <w:widowControl w:val="0"/>
        <w:numPr>
          <w:ilvl w:val="0"/>
          <w:numId w:val="0"/>
        </w:numPr>
        <w:jc w:val="both"/>
        <w:rPr>
          <w:rFonts w:hint="default" w:eastAsia="宋体"/>
          <w:b w:val="0"/>
          <w:bCs w:val="0"/>
          <w:lang w:val="en-US" w:eastAsia="zh-CN"/>
        </w:rPr>
      </w:pPr>
      <w:r>
        <w:rPr>
          <w:rFonts w:hint="eastAsia" w:eastAsia="宋体"/>
          <w:b w:val="0"/>
          <w:bCs w:val="0"/>
          <w:lang w:val="en-US" w:eastAsia="zh-CN"/>
        </w:rPr>
        <w:t xml:space="preserve">If Proposal 5 is agreeable, legacy UEs or Rel-19 UEs not supporting IoT-NTN need to be barred from the cell in S&amp;F operation. Similar to NTN/ATG, we can add an IE in SIB1 (e.g. </w:t>
      </w:r>
      <w:r>
        <w:rPr>
          <w:rFonts w:hint="default" w:eastAsia="宋体"/>
          <w:b w:val="0"/>
          <w:bCs w:val="0"/>
          <w:lang w:val="en-US" w:eastAsia="zh-CN"/>
        </w:rPr>
        <w:t>cellBarredSF-r1</w:t>
      </w:r>
      <w:r>
        <w:rPr>
          <w:rFonts w:hint="eastAsia" w:eastAsia="宋体"/>
          <w:b w:val="0"/>
          <w:bCs w:val="0"/>
          <w:lang w:val="en-US" w:eastAsia="zh-CN"/>
        </w:rPr>
        <w:t xml:space="preserve">9) using one bit to indicate if UEs supporting S&amp;F operation are allowed to camp on. In other words, the UEs in S&amp;F operation could access to the cell only if the IE is present and set to </w:t>
      </w:r>
      <w:r>
        <w:rPr>
          <w:rFonts w:hint="eastAsia" w:eastAsia="宋体"/>
          <w:b w:val="0"/>
          <w:bCs w:val="0"/>
          <w:i/>
          <w:iCs/>
          <w:lang w:val="en-US" w:eastAsia="zh-CN"/>
        </w:rPr>
        <w:t>notBarred</w:t>
      </w:r>
      <w:r>
        <w:rPr>
          <w:rFonts w:hint="eastAsia" w:eastAsia="宋体"/>
          <w:b w:val="0"/>
          <w:bCs w:val="0"/>
          <w:lang w:val="en-US" w:eastAsia="zh-CN"/>
        </w:rPr>
        <w:t>.</w:t>
      </w:r>
    </w:p>
    <w:p>
      <w:pPr>
        <w:widowControl w:val="0"/>
        <w:numPr>
          <w:ilvl w:val="0"/>
          <w:numId w:val="0"/>
        </w:numPr>
        <w:jc w:val="both"/>
        <w:rPr>
          <w:rFonts w:hint="eastAsia" w:eastAsia="宋体"/>
          <w:b/>
          <w:bCs/>
          <w:lang w:val="en-US" w:eastAsia="zh-CN"/>
        </w:rPr>
      </w:pPr>
      <w:r>
        <w:rPr>
          <w:rFonts w:hint="eastAsia" w:eastAsia="宋体"/>
          <w:b/>
          <w:bCs/>
          <w:lang w:val="en-US" w:eastAsia="zh-CN"/>
        </w:rPr>
        <w:t>Proposal 6</w:t>
      </w:r>
      <w:r>
        <w:rPr>
          <w:rFonts w:hint="default" w:eastAsia="宋体"/>
          <w:b/>
          <w:bCs/>
          <w:lang w:val="en-US" w:eastAsia="zh-CN"/>
        </w:rPr>
        <w:t xml:space="preserve">: </w:t>
      </w:r>
      <w:r>
        <w:rPr>
          <w:rFonts w:hint="eastAsia" w:eastAsia="宋体"/>
          <w:b/>
          <w:bCs/>
          <w:lang w:val="en-US" w:eastAsia="zh-CN"/>
        </w:rPr>
        <w:t>It is proposed to add a new barring indication in SIB1 message (e.g. cellBarredSF-r19)</w:t>
      </w:r>
      <w:r>
        <w:rPr>
          <w:rFonts w:hint="default" w:eastAsia="宋体"/>
          <w:b/>
          <w:bCs/>
          <w:lang w:val="en-US" w:eastAsia="zh-CN"/>
        </w:rPr>
        <w:t>.</w:t>
      </w:r>
    </w:p>
    <w:p>
      <w:pPr>
        <w:widowControl w:val="0"/>
        <w:numPr>
          <w:ilvl w:val="0"/>
          <w:numId w:val="0"/>
        </w:numPr>
        <w:jc w:val="both"/>
        <w:rPr>
          <w:rFonts w:hint="eastAsia" w:eastAsia="宋体"/>
          <w:b/>
          <w:bCs/>
          <w:lang w:val="en-US" w:eastAsia="zh-CN"/>
        </w:rPr>
      </w:pPr>
    </w:p>
    <w:p>
      <w:pPr>
        <w:widowControl w:val="0"/>
        <w:numPr>
          <w:ilvl w:val="0"/>
          <w:numId w:val="0"/>
        </w:numPr>
        <w:jc w:val="both"/>
        <w:rPr>
          <w:rFonts w:hint="default" w:eastAsia="宋体"/>
          <w:b w:val="0"/>
          <w:bCs w:val="0"/>
          <w:lang w:val="en-US" w:eastAsia="zh-CN"/>
        </w:rPr>
      </w:pPr>
      <w:r>
        <w:rPr>
          <w:rFonts w:hint="eastAsia" w:eastAsia="宋体"/>
          <w:b w:val="0"/>
          <w:bCs w:val="0"/>
          <w:lang w:val="en-US" w:eastAsia="zh-CN"/>
        </w:rPr>
        <w:t>During the initial attach procedure, if UE is rejected with new reject message including wait timer, SA2 give the conclusion about the UE behaviour during the wait time as below:</w:t>
      </w:r>
    </w:p>
    <w:p>
      <w:pPr>
        <w:pStyle w:val="117"/>
        <w:pBdr>
          <w:top w:val="single" w:color="auto" w:sz="4" w:space="0"/>
          <w:left w:val="single" w:color="auto" w:sz="4" w:space="0"/>
          <w:bottom w:val="single" w:color="auto" w:sz="4" w:space="0"/>
          <w:right w:val="single" w:color="auto" w:sz="4" w:space="0"/>
        </w:pBdr>
        <w:ind w:left="0" w:leftChars="0"/>
        <w:rPr>
          <w:b/>
          <w:bCs/>
        </w:rPr>
      </w:pPr>
      <w:r>
        <w:rPr>
          <w:rFonts w:hint="eastAsia"/>
          <w:b/>
          <w:bCs/>
        </w:rPr>
        <w:t>23.700-29 Clause 8.2</w:t>
      </w:r>
      <w:r>
        <w:rPr>
          <w:rFonts w:hint="eastAsia"/>
          <w:b/>
          <w:bCs/>
        </w:rPr>
        <w:tab/>
      </w:r>
      <w:r>
        <w:rPr>
          <w:rFonts w:hint="eastAsia"/>
          <w:b/>
          <w:bCs/>
        </w:rPr>
        <w:t>Conclusion for KI #2: Support of Store and Forward Satellite operation</w:t>
      </w:r>
    </w:p>
    <w:p>
      <w:pPr>
        <w:pStyle w:val="117"/>
        <w:pBdr>
          <w:top w:val="single" w:color="auto" w:sz="4" w:space="0"/>
          <w:left w:val="single" w:color="auto" w:sz="4" w:space="0"/>
          <w:bottom w:val="single" w:color="auto" w:sz="4" w:space="0"/>
          <w:right w:val="single" w:color="auto" w:sz="4" w:space="0"/>
        </w:pBdr>
        <w:ind w:left="0" w:leftChars="0"/>
      </w:pPr>
      <w:r>
        <w:t>3)</w:t>
      </w:r>
      <w:r>
        <w:tab/>
      </w:r>
      <w:r>
        <w:t xml:space="preserve">How the UE process this information is up to UE implementation and </w:t>
      </w:r>
      <w:r>
        <w:rPr>
          <w:highlight w:val="yellow"/>
        </w:rPr>
        <w:t>during the wait timer the UE can search for another terrestrial or satellite PLMN to get normal service</w:t>
      </w:r>
      <w:r>
        <w:t>.</w:t>
      </w:r>
    </w:p>
    <w:p>
      <w:pPr>
        <w:widowControl w:val="0"/>
        <w:numPr>
          <w:ilvl w:val="0"/>
          <w:numId w:val="0"/>
        </w:numPr>
        <w:jc w:val="both"/>
        <w:rPr>
          <w:rFonts w:hint="eastAsia" w:eastAsia="宋体"/>
          <w:b w:val="0"/>
          <w:bCs w:val="0"/>
          <w:lang w:val="en-US" w:eastAsia="zh-CN"/>
        </w:rPr>
      </w:pPr>
      <w:r>
        <w:rPr>
          <w:rFonts w:hint="eastAsia" w:eastAsia="宋体"/>
          <w:b w:val="0"/>
          <w:bCs w:val="0"/>
          <w:lang w:val="en-US" w:eastAsia="zh-CN"/>
        </w:rPr>
        <w:t>From SA2 conclusion, it is clear to see that UE can still search for terrestrial or normal satellite cell during the wait time. Thus, in our opinion, even UE is in the S&amp;F operation, it can still have normal function and make the real time data transmission (not limited to Store and Forward mode only). Meanwhile, if there is one normal IoT NTN cell is available and accessible for UE to camp on, UE in S&amp;F operation can try to camp on the normal NTN cell to get service.</w:t>
      </w:r>
    </w:p>
    <w:p>
      <w:pPr>
        <w:widowControl w:val="0"/>
        <w:numPr>
          <w:ilvl w:val="0"/>
          <w:numId w:val="0"/>
        </w:numPr>
        <w:jc w:val="both"/>
        <w:rPr>
          <w:rFonts w:hint="eastAsia" w:eastAsia="宋体"/>
          <w:b/>
          <w:bCs/>
          <w:lang w:val="en-US" w:eastAsia="zh-CN"/>
        </w:rPr>
      </w:pPr>
      <w:r>
        <w:rPr>
          <w:rFonts w:hint="eastAsia" w:eastAsia="宋体"/>
          <w:b/>
          <w:bCs/>
          <w:lang w:val="en-US" w:eastAsia="zh-CN"/>
        </w:rPr>
        <w:t>Proposal 7: UEs supporting S&amp;F operation can still access to the normal IoT NTN cell.</w:t>
      </w:r>
    </w:p>
    <w:p>
      <w:pPr>
        <w:widowControl w:val="0"/>
        <w:numPr>
          <w:ilvl w:val="0"/>
          <w:numId w:val="0"/>
        </w:numPr>
        <w:jc w:val="both"/>
        <w:rPr>
          <w:rFonts w:hint="default" w:eastAsia="宋体"/>
          <w:b/>
          <w:bCs/>
          <w:lang w:val="en-US" w:eastAsia="zh-CN"/>
        </w:rPr>
      </w:pPr>
      <w:r>
        <w:rPr>
          <w:rFonts w:hint="eastAsia" w:eastAsia="宋体"/>
          <w:b/>
          <w:bCs/>
          <w:lang w:val="en-US" w:eastAsia="zh-CN"/>
        </w:rPr>
        <w:t>Proposal 8: During the initial attach procedure,, if there is an available and accessible normal IoT NTN cell before the wait timer expires, UEs in S&amp;F operation can try to camp on.</w:t>
      </w:r>
    </w:p>
    <w:p>
      <w:pPr>
        <w:widowControl w:val="0"/>
        <w:numPr>
          <w:ilvl w:val="0"/>
          <w:numId w:val="0"/>
        </w:numPr>
        <w:jc w:val="both"/>
        <w:rPr>
          <w:rFonts w:hint="eastAsia" w:eastAsia="宋体"/>
          <w:b w:val="0"/>
          <w:bCs w:val="0"/>
          <w:lang w:val="en-US" w:eastAsia="zh-CN"/>
        </w:rPr>
      </w:pPr>
    </w:p>
    <w:p>
      <w:pPr>
        <w:pStyle w:val="5"/>
        <w:bidi w:val="0"/>
        <w:rPr>
          <w:rFonts w:hint="eastAsia"/>
          <w:b/>
          <w:bCs/>
          <w:lang w:val="en-US" w:eastAsia="zh-CN"/>
        </w:rPr>
      </w:pPr>
      <w:r>
        <w:rPr>
          <w:rFonts w:hint="eastAsia"/>
          <w:b/>
          <w:bCs/>
          <w:lang w:val="en-US" w:eastAsia="zh-CN"/>
        </w:rPr>
        <w:t>UP solution</w:t>
      </w:r>
    </w:p>
    <w:p>
      <w:pPr>
        <w:widowControl w:val="0"/>
        <w:numPr>
          <w:ilvl w:val="0"/>
          <w:numId w:val="0"/>
        </w:numPr>
        <w:jc w:val="both"/>
        <w:rPr>
          <w:rFonts w:hint="default" w:eastAsia="宋体"/>
          <w:b w:val="0"/>
          <w:bCs w:val="0"/>
          <w:lang w:val="en-US" w:eastAsia="zh-CN"/>
        </w:rPr>
      </w:pPr>
      <w:r>
        <w:rPr>
          <w:rFonts w:hint="eastAsia" w:eastAsia="宋体"/>
          <w:b w:val="0"/>
          <w:bCs w:val="0"/>
          <w:lang w:val="en-US" w:eastAsia="zh-CN"/>
        </w:rPr>
        <w:t xml:space="preserve">In the RAN2#125bis meeting, RAN2 gave a conclusion on CP and UP solution as </w:t>
      </w:r>
      <w:r>
        <w:rPr>
          <w:rFonts w:hint="default" w:eastAsia="宋体"/>
          <w:b w:val="0"/>
          <w:bCs w:val="0"/>
          <w:lang w:val="en-US" w:eastAsia="zh-CN"/>
        </w:rPr>
        <w:t>“</w:t>
      </w:r>
      <w:r>
        <w:rPr>
          <w:rFonts w:hint="default" w:eastAsia="宋体"/>
          <w:b w:val="0"/>
          <w:bCs w:val="0"/>
          <w:i/>
          <w:iCs/>
          <w:lang w:val="en-US" w:eastAsia="zh-CN"/>
        </w:rPr>
        <w:t>The S&amp;F satellite operation is applied to both CP solution and UP solution (for the UP solution pending on SA2 conclusions on the architecture</w:t>
      </w:r>
      <w:r>
        <w:rPr>
          <w:rFonts w:hint="default" w:eastAsia="宋体"/>
          <w:b w:val="0"/>
          <w:bCs w:val="0"/>
          <w:lang w:val="en-US" w:eastAsia="zh-CN"/>
        </w:rPr>
        <w:t>)”</w:t>
      </w:r>
      <w:r>
        <w:rPr>
          <w:rFonts w:hint="eastAsia" w:eastAsia="宋体"/>
          <w:b w:val="0"/>
          <w:bCs w:val="0"/>
          <w:lang w:val="en-US" w:eastAsia="zh-CN"/>
        </w:rPr>
        <w:t xml:space="preserve"> [3]. About the UP solution, SA2 has already made the following conclusion:</w:t>
      </w:r>
    </w:p>
    <w:p>
      <w:pPr>
        <w:pStyle w:val="117"/>
        <w:pBdr>
          <w:top w:val="single" w:color="auto" w:sz="4" w:space="0"/>
          <w:left w:val="single" w:color="auto" w:sz="4" w:space="0"/>
          <w:bottom w:val="single" w:color="auto" w:sz="4" w:space="0"/>
          <w:right w:val="single" w:color="auto" w:sz="4" w:space="0"/>
        </w:pBdr>
        <w:ind w:left="0" w:leftChars="0"/>
        <w:rPr>
          <w:b/>
          <w:bCs/>
        </w:rPr>
      </w:pPr>
      <w:r>
        <w:rPr>
          <w:rFonts w:hint="eastAsia"/>
          <w:b/>
          <w:bCs/>
        </w:rPr>
        <w:t>23.700-29 Clause 8.2</w:t>
      </w:r>
      <w:r>
        <w:rPr>
          <w:rFonts w:hint="eastAsia"/>
          <w:b/>
          <w:bCs/>
        </w:rPr>
        <w:tab/>
      </w:r>
      <w:r>
        <w:rPr>
          <w:rFonts w:hint="eastAsia"/>
          <w:b/>
          <w:bCs/>
        </w:rPr>
        <w:t>Conclusion for KI #2: Support of Store and Forward Satellite operation</w:t>
      </w:r>
    </w:p>
    <w:p>
      <w:pPr>
        <w:pStyle w:val="117"/>
        <w:pBdr>
          <w:top w:val="single" w:color="auto" w:sz="4" w:space="0"/>
          <w:left w:val="single" w:color="auto" w:sz="4" w:space="0"/>
          <w:bottom w:val="single" w:color="auto" w:sz="4" w:space="0"/>
          <w:right w:val="single" w:color="auto" w:sz="4" w:space="0"/>
        </w:pBdr>
        <w:ind w:left="0" w:leftChars="0"/>
      </w:pPr>
      <w:r>
        <w:t>3)</w:t>
      </w:r>
      <w:r>
        <w:tab/>
      </w:r>
      <w:r>
        <w:t xml:space="preserve">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is unavailable, and transferred to the UE when service link becomes available. </w:t>
      </w:r>
      <w:r>
        <w:rPr>
          <w:highlight w:val="yellow"/>
        </w:rPr>
        <w:t>All types of data traffic (e.g. IP, etc.) can be supported and transferred using the existing user plane and control plane procedures defined in EPS</w:t>
      </w:r>
      <w:r>
        <w:t>.</w:t>
      </w:r>
    </w:p>
    <w:p>
      <w:pPr>
        <w:widowControl w:val="0"/>
        <w:numPr>
          <w:ilvl w:val="0"/>
          <w:numId w:val="0"/>
        </w:numPr>
        <w:jc w:val="both"/>
        <w:rPr>
          <w:rFonts w:hint="eastAsia" w:eastAsia="宋体"/>
          <w:b w:val="0"/>
          <w:bCs w:val="0"/>
          <w:lang w:val="en-US" w:eastAsia="zh-CN"/>
        </w:rPr>
      </w:pPr>
      <w:r>
        <w:rPr>
          <w:rFonts w:hint="eastAsia" w:eastAsia="宋体"/>
          <w:b w:val="0"/>
          <w:bCs w:val="0"/>
          <w:lang w:val="en-US" w:eastAsia="zh-CN"/>
        </w:rPr>
        <w:t>From the conclusion, we can see that SA2 has agreed that legacy CP and UP solutions can be used for data traffic in S&amp;F operation</w:t>
      </w:r>
    </w:p>
    <w:p>
      <w:pPr>
        <w:widowControl w:val="0"/>
        <w:numPr>
          <w:ilvl w:val="0"/>
          <w:numId w:val="0"/>
        </w:numPr>
        <w:jc w:val="both"/>
        <w:rPr>
          <w:rFonts w:hint="eastAsia" w:eastAsia="宋体"/>
          <w:b/>
          <w:bCs/>
          <w:lang w:val="en-US" w:eastAsia="zh-CN"/>
        </w:rPr>
      </w:pPr>
      <w:r>
        <w:rPr>
          <w:rFonts w:hint="eastAsia" w:eastAsia="宋体"/>
          <w:b/>
          <w:bCs/>
          <w:lang w:val="en-US" w:eastAsia="zh-CN"/>
        </w:rPr>
        <w:t xml:space="preserve">Observation 3: </w:t>
      </w:r>
      <w:r>
        <w:rPr>
          <w:rFonts w:hint="default" w:eastAsia="宋体"/>
          <w:b/>
          <w:bCs/>
          <w:lang w:val="en-US" w:eastAsia="zh-CN"/>
        </w:rPr>
        <w:t>SA2 confirm</w:t>
      </w:r>
      <w:r>
        <w:rPr>
          <w:rFonts w:hint="eastAsia" w:eastAsia="宋体"/>
          <w:b/>
          <w:bCs/>
          <w:lang w:val="en-US" w:eastAsia="zh-CN"/>
        </w:rPr>
        <w:t xml:space="preserve"> that </w:t>
      </w:r>
      <w:r>
        <w:rPr>
          <w:rFonts w:hint="default" w:eastAsia="宋体"/>
          <w:b/>
          <w:bCs/>
          <w:lang w:val="en-US" w:eastAsia="zh-CN"/>
        </w:rPr>
        <w:t xml:space="preserve">legacy </w:t>
      </w:r>
      <w:r>
        <w:rPr>
          <w:rFonts w:hint="eastAsia" w:eastAsia="宋体"/>
          <w:b/>
          <w:bCs/>
          <w:lang w:val="en-US" w:eastAsia="zh-CN"/>
        </w:rPr>
        <w:t xml:space="preserve">CP and </w:t>
      </w:r>
      <w:r>
        <w:rPr>
          <w:rFonts w:hint="default" w:eastAsia="宋体"/>
          <w:b/>
          <w:bCs/>
          <w:lang w:val="en-US" w:eastAsia="zh-CN"/>
        </w:rPr>
        <w:t xml:space="preserve">UP </w:t>
      </w:r>
      <w:r>
        <w:rPr>
          <w:rFonts w:hint="eastAsia" w:eastAsia="宋体"/>
          <w:b/>
          <w:bCs/>
          <w:lang w:val="en-US" w:eastAsia="zh-CN"/>
        </w:rPr>
        <w:t>procedure</w:t>
      </w:r>
      <w:r>
        <w:rPr>
          <w:rFonts w:hint="default" w:eastAsia="宋体"/>
          <w:b/>
          <w:bCs/>
          <w:lang w:val="en-US" w:eastAsia="zh-CN"/>
        </w:rPr>
        <w:t xml:space="preserve"> can be used for </w:t>
      </w:r>
      <w:r>
        <w:rPr>
          <w:rFonts w:hint="eastAsia" w:eastAsia="宋体"/>
          <w:b/>
          <w:bCs/>
          <w:lang w:val="en-US" w:eastAsia="zh-CN"/>
        </w:rPr>
        <w:t xml:space="preserve">data traffic in </w:t>
      </w:r>
      <w:r>
        <w:rPr>
          <w:rFonts w:hint="default" w:eastAsia="宋体"/>
          <w:b/>
          <w:bCs/>
          <w:lang w:val="en-US" w:eastAsia="zh-CN"/>
        </w:rPr>
        <w:t>S&amp;F operation.</w:t>
      </w:r>
    </w:p>
    <w:p>
      <w:pPr>
        <w:widowControl w:val="0"/>
        <w:numPr>
          <w:ilvl w:val="0"/>
          <w:numId w:val="0"/>
        </w:numPr>
        <w:jc w:val="both"/>
        <w:rPr>
          <w:rFonts w:hint="eastAsia" w:eastAsia="宋体"/>
          <w:b w:val="0"/>
          <w:bCs w:val="0"/>
          <w:lang w:val="en-US" w:eastAsia="zh-CN"/>
        </w:rPr>
      </w:pPr>
      <w:r>
        <w:rPr>
          <w:rFonts w:hint="eastAsia" w:eastAsia="宋体"/>
          <w:b w:val="0"/>
          <w:bCs w:val="0"/>
          <w:lang w:val="en-US" w:eastAsia="zh-CN"/>
        </w:rPr>
        <w:t>Thus, from RAN2 point of view, it is nature to follow SA2 conclusion that legacy CP and UP solution can be reused.</w:t>
      </w:r>
    </w:p>
    <w:p>
      <w:pPr>
        <w:widowControl w:val="0"/>
        <w:numPr>
          <w:ilvl w:val="0"/>
          <w:numId w:val="0"/>
        </w:numPr>
        <w:jc w:val="both"/>
        <w:rPr>
          <w:rFonts w:hint="default" w:eastAsia="宋体"/>
          <w:b/>
          <w:bCs/>
          <w:lang w:val="en-US" w:eastAsia="zh-CN"/>
        </w:rPr>
      </w:pPr>
      <w:r>
        <w:rPr>
          <w:rFonts w:hint="eastAsia" w:eastAsia="宋体"/>
          <w:b/>
          <w:bCs/>
          <w:lang w:val="en-US" w:eastAsia="zh-CN"/>
        </w:rPr>
        <w:t>Proposal 9: It is proposed that RAN2 confirm l</w:t>
      </w:r>
      <w:r>
        <w:rPr>
          <w:rFonts w:hint="default" w:eastAsia="宋体"/>
          <w:b/>
          <w:bCs/>
          <w:lang w:val="en-US" w:eastAsia="zh-CN"/>
        </w:rPr>
        <w:t xml:space="preserve">egacy </w:t>
      </w:r>
      <w:r>
        <w:rPr>
          <w:rFonts w:hint="eastAsia" w:eastAsia="宋体"/>
          <w:b/>
          <w:bCs/>
          <w:lang w:val="en-US" w:eastAsia="zh-CN"/>
        </w:rPr>
        <w:t xml:space="preserve">CP and </w:t>
      </w:r>
      <w:r>
        <w:rPr>
          <w:rFonts w:hint="default" w:eastAsia="宋体"/>
          <w:b/>
          <w:bCs/>
          <w:lang w:val="en-US" w:eastAsia="zh-CN"/>
        </w:rPr>
        <w:t>UP solution</w:t>
      </w:r>
      <w:r>
        <w:rPr>
          <w:rFonts w:hint="eastAsia" w:eastAsia="宋体"/>
          <w:b/>
          <w:bCs/>
          <w:lang w:val="en-US" w:eastAsia="zh-CN"/>
        </w:rPr>
        <w:t xml:space="preserve"> </w:t>
      </w:r>
      <w:r>
        <w:rPr>
          <w:rFonts w:hint="default" w:eastAsia="宋体"/>
          <w:b/>
          <w:bCs/>
          <w:lang w:val="en-US" w:eastAsia="zh-CN"/>
        </w:rPr>
        <w:t xml:space="preserve">can be </w:t>
      </w:r>
      <w:r>
        <w:rPr>
          <w:rFonts w:hint="eastAsia" w:eastAsia="宋体"/>
          <w:b/>
          <w:bCs/>
          <w:lang w:val="en-US" w:eastAsia="zh-CN"/>
        </w:rPr>
        <w:t>re</w:t>
      </w:r>
      <w:r>
        <w:rPr>
          <w:rFonts w:hint="default" w:eastAsia="宋体"/>
          <w:b/>
          <w:bCs/>
          <w:lang w:val="en-US" w:eastAsia="zh-CN"/>
        </w:rPr>
        <w:t xml:space="preserve">used for </w:t>
      </w:r>
      <w:r>
        <w:rPr>
          <w:rFonts w:hint="eastAsia" w:eastAsia="宋体"/>
          <w:b/>
          <w:bCs/>
          <w:lang w:val="en-US" w:eastAsia="zh-CN"/>
        </w:rPr>
        <w:t xml:space="preserve">data traffic in </w:t>
      </w:r>
      <w:r>
        <w:rPr>
          <w:rFonts w:hint="default" w:eastAsia="宋体"/>
          <w:b/>
          <w:bCs/>
          <w:lang w:val="en-US" w:eastAsia="zh-CN"/>
        </w:rPr>
        <w:t>S&amp;F operation.</w:t>
      </w:r>
    </w:p>
    <w:p>
      <w:pPr>
        <w:widowControl w:val="0"/>
        <w:numPr>
          <w:ilvl w:val="0"/>
          <w:numId w:val="0"/>
        </w:numPr>
        <w:jc w:val="both"/>
        <w:rPr>
          <w:rFonts w:hint="default" w:eastAsia="宋体"/>
          <w:b w:val="0"/>
          <w:bCs w:val="0"/>
          <w:lang w:val="en-US" w:eastAsia="zh-CN"/>
        </w:rPr>
      </w:pPr>
    </w:p>
    <w:p>
      <w:pPr>
        <w:pStyle w:val="5"/>
        <w:bidi w:val="0"/>
        <w:rPr>
          <w:rFonts w:hint="default"/>
          <w:b/>
          <w:bCs/>
          <w:lang w:val="en-US" w:eastAsia="zh-CN"/>
        </w:rPr>
      </w:pPr>
      <w:r>
        <w:rPr>
          <w:rFonts w:hint="eastAsia"/>
          <w:b/>
          <w:bCs/>
          <w:lang w:val="en-US" w:eastAsia="zh-CN"/>
        </w:rPr>
        <w:t>Wait timer during the suspension</w:t>
      </w:r>
    </w:p>
    <w:p>
      <w:pPr>
        <w:keepNext w:val="0"/>
        <w:keepLines w:val="0"/>
        <w:pageBreakBefore w:val="0"/>
        <w:widowControl/>
        <w:kinsoku/>
        <w:wordWrap/>
        <w:overflowPunct/>
        <w:topLinePunct w:val="0"/>
        <w:autoSpaceDE/>
        <w:autoSpaceDN/>
        <w:bidi w:val="0"/>
        <w:adjustRightInd w:val="0"/>
        <w:snapToGrid/>
        <w:ind w:left="0" w:firstLine="0" w:firstLineChars="0"/>
        <w:jc w:val="both"/>
        <w:textAlignment w:val="auto"/>
        <w:rPr>
          <w:rFonts w:hint="eastAsia"/>
          <w:lang w:val="en-US" w:eastAsia="zh-CN"/>
        </w:rPr>
      </w:pPr>
      <w:r>
        <w:rPr>
          <w:rFonts w:hint="eastAsia" w:eastAsia="宋体"/>
          <w:b w:val="0"/>
          <w:bCs w:val="0"/>
          <w:lang w:val="en-US" w:eastAsia="zh-CN"/>
        </w:rPr>
        <w:t xml:space="preserve">In the initial attach procedure, SA2 has defined a wait timer to tell UE how long it should wait before re-attempting. Similarly, before connection suspension, the satellite also needs to tell UE about the waiting timer which is the estimated time before next data transmission. </w:t>
      </w:r>
      <w:r>
        <w:rPr>
          <w:rFonts w:hint="eastAsia"/>
          <w:bCs/>
          <w:szCs w:val="20"/>
          <w:lang w:val="en-US" w:eastAsia="zh-CN"/>
        </w:rPr>
        <w:t>When the sat</w:t>
      </w:r>
      <w:r>
        <w:rPr>
          <w:rFonts w:hint="eastAsia"/>
          <w:lang w:val="en-US" w:eastAsia="zh-CN"/>
        </w:rPr>
        <w:t>ellite is moving away, the service link is going to be unavailable and the data transmission between UE and eNB will be suspended in S&amp;F operation. A</w:t>
      </w:r>
      <w:r>
        <w:rPr>
          <w:rFonts w:hint="default"/>
          <w:lang w:val="en-US" w:eastAsia="zh-CN"/>
        </w:rPr>
        <w:t xml:space="preserve">n </w:t>
      </w:r>
      <w:r>
        <w:rPr>
          <w:rFonts w:hint="eastAsia"/>
          <w:lang w:val="en-US" w:eastAsia="zh-CN"/>
        </w:rPr>
        <w:t xml:space="preserve">wait time </w:t>
      </w:r>
      <w:r>
        <w:rPr>
          <w:rFonts w:hint="default"/>
          <w:lang w:val="en-US" w:eastAsia="zh-CN"/>
        </w:rPr>
        <w:t>needs to be g</w:t>
      </w:r>
      <w:r>
        <w:rPr>
          <w:rFonts w:hint="eastAsia"/>
          <w:lang w:val="en-US" w:eastAsia="zh-CN"/>
        </w:rPr>
        <w:t>iven</w:t>
      </w:r>
      <w:r>
        <w:rPr>
          <w:rFonts w:hint="default"/>
          <w:lang w:val="en-US" w:eastAsia="zh-CN"/>
        </w:rPr>
        <w:t xml:space="preserve"> from </w:t>
      </w:r>
      <w:r>
        <w:rPr>
          <w:rFonts w:hint="eastAsia"/>
          <w:lang w:val="en-US" w:eastAsia="zh-CN"/>
        </w:rPr>
        <w:t>the satellite</w:t>
      </w:r>
      <w:r>
        <w:rPr>
          <w:rFonts w:hint="default"/>
          <w:lang w:val="en-US" w:eastAsia="zh-CN"/>
        </w:rPr>
        <w:t xml:space="preserve"> to UE to indicate the interruption time before the service link is </w:t>
      </w:r>
      <w:r>
        <w:rPr>
          <w:rFonts w:hint="eastAsia"/>
          <w:lang w:val="en-US" w:eastAsia="zh-CN"/>
        </w:rPr>
        <w:t>broken</w:t>
      </w:r>
      <w:r>
        <w:rPr>
          <w:rFonts w:hint="default"/>
          <w:lang w:val="en-US" w:eastAsia="zh-CN"/>
        </w:rPr>
        <w:t>.</w:t>
      </w:r>
      <w:r>
        <w:rPr>
          <w:rFonts w:hint="eastAsia"/>
          <w:lang w:val="en-US" w:eastAsia="zh-CN"/>
        </w:rPr>
        <w:t xml:space="preserve"> In this way, UE could know the estimated suspension time for next data transmission occasion. Also the estimated suspension time is useful for UE to estimate the paging occasion which means UE does not need to monitor all the time and can skip the irrelevant paging since UE knows when the next satellite will come.</w:t>
      </w:r>
    </w:p>
    <w:p>
      <w:pPr>
        <w:widowControl w:val="0"/>
        <w:numPr>
          <w:ilvl w:val="0"/>
          <w:numId w:val="0"/>
        </w:numPr>
        <w:jc w:val="both"/>
        <w:rPr>
          <w:rFonts w:hint="default" w:eastAsia="宋体"/>
          <w:b/>
          <w:bCs/>
          <w:lang w:val="en-US" w:eastAsia="zh-CN"/>
        </w:rPr>
      </w:pPr>
      <w:r>
        <w:rPr>
          <w:rFonts w:hint="eastAsia" w:eastAsia="宋体"/>
          <w:b/>
          <w:bCs/>
          <w:lang w:val="en-US" w:eastAsia="zh-CN"/>
        </w:rPr>
        <w:t>Proposal 10: It is proposed to introduce a wait timer from satellite to UE to indicate the connection interruption time before the suspension</w:t>
      </w:r>
      <w:r>
        <w:rPr>
          <w:rFonts w:hint="default" w:eastAsia="宋体"/>
          <w:b/>
          <w:bCs/>
          <w:lang w:val="en-US" w:eastAsia="zh-CN"/>
        </w:rPr>
        <w:t>.</w:t>
      </w:r>
    </w:p>
    <w:bookmarkEnd w:id="6"/>
    <w:p>
      <w:pPr>
        <w:pStyle w:val="2"/>
        <w:jc w:val="both"/>
        <w:rPr>
          <w:rFonts w:hint="eastAsia"/>
        </w:rPr>
      </w:pPr>
      <w:r>
        <w:t>Conclusions</w:t>
      </w:r>
    </w:p>
    <w:p>
      <w:pPr>
        <w:adjustRightInd/>
        <w:spacing w:after="240" w:line="259" w:lineRule="auto"/>
        <w:contextualSpacing/>
        <w:jc w:val="both"/>
        <w:rPr>
          <w:rFonts w:hint="eastAsia"/>
          <w:b/>
          <w:bCs/>
          <w:highlight w:val="none"/>
          <w:lang w:val="en-US" w:eastAsia="zh-CN"/>
        </w:rPr>
      </w:pPr>
      <w:r>
        <w:rPr>
          <w:rFonts w:hint="eastAsia"/>
          <w:b/>
          <w:bCs/>
          <w:highlight w:val="none"/>
          <w:lang w:val="en-US" w:eastAsia="zh-CN"/>
        </w:rPr>
        <w:t>Observation 1: SA2 consider S&amp;F operation is suitable for both single satellite architecture and multiple satellite architecture.</w:t>
      </w:r>
    </w:p>
    <w:p>
      <w:pPr>
        <w:widowControl w:val="0"/>
        <w:numPr>
          <w:ilvl w:val="0"/>
          <w:numId w:val="0"/>
        </w:numPr>
        <w:jc w:val="both"/>
        <w:rPr>
          <w:rFonts w:hint="default" w:eastAsia="宋体"/>
          <w:b/>
          <w:bCs/>
          <w:lang w:val="en-US" w:eastAsia="zh-CN"/>
        </w:rPr>
      </w:pPr>
      <w:r>
        <w:rPr>
          <w:rFonts w:hint="eastAsia" w:eastAsia="宋体"/>
          <w:b/>
          <w:bCs/>
          <w:lang w:val="en-US" w:eastAsia="zh-CN"/>
        </w:rPr>
        <w:t>Observation 2: Legacy UEs and Rel-19 UE not supporting S&amp;F operation can not recognize the new attach or TAU reject message.</w:t>
      </w:r>
    </w:p>
    <w:p>
      <w:pPr>
        <w:widowControl w:val="0"/>
        <w:numPr>
          <w:ilvl w:val="0"/>
          <w:numId w:val="0"/>
        </w:numPr>
        <w:jc w:val="both"/>
        <w:rPr>
          <w:rFonts w:hint="eastAsia" w:eastAsia="宋体"/>
          <w:b/>
          <w:bCs/>
          <w:lang w:val="en-US" w:eastAsia="zh-CN"/>
        </w:rPr>
      </w:pPr>
      <w:r>
        <w:rPr>
          <w:rFonts w:hint="eastAsia" w:eastAsia="宋体"/>
          <w:b/>
          <w:bCs/>
          <w:lang w:val="en-US" w:eastAsia="zh-CN"/>
        </w:rPr>
        <w:t xml:space="preserve">Observation 3: </w:t>
      </w:r>
      <w:r>
        <w:rPr>
          <w:rFonts w:hint="default" w:eastAsia="宋体"/>
          <w:b/>
          <w:bCs/>
          <w:lang w:val="en-US" w:eastAsia="zh-CN"/>
        </w:rPr>
        <w:t>SA2 confirm</w:t>
      </w:r>
      <w:r>
        <w:rPr>
          <w:rFonts w:hint="eastAsia" w:eastAsia="宋体"/>
          <w:b/>
          <w:bCs/>
          <w:lang w:val="en-US" w:eastAsia="zh-CN"/>
        </w:rPr>
        <w:t xml:space="preserve"> that </w:t>
      </w:r>
      <w:r>
        <w:rPr>
          <w:rFonts w:hint="default" w:eastAsia="宋体"/>
          <w:b/>
          <w:bCs/>
          <w:lang w:val="en-US" w:eastAsia="zh-CN"/>
        </w:rPr>
        <w:t xml:space="preserve">legacy </w:t>
      </w:r>
      <w:r>
        <w:rPr>
          <w:rFonts w:hint="eastAsia" w:eastAsia="宋体"/>
          <w:b/>
          <w:bCs/>
          <w:lang w:val="en-US" w:eastAsia="zh-CN"/>
        </w:rPr>
        <w:t xml:space="preserve">CP and </w:t>
      </w:r>
      <w:r>
        <w:rPr>
          <w:rFonts w:hint="default" w:eastAsia="宋体"/>
          <w:b/>
          <w:bCs/>
          <w:lang w:val="en-US" w:eastAsia="zh-CN"/>
        </w:rPr>
        <w:t xml:space="preserve">UP </w:t>
      </w:r>
      <w:r>
        <w:rPr>
          <w:rFonts w:hint="eastAsia" w:eastAsia="宋体"/>
          <w:b/>
          <w:bCs/>
          <w:lang w:val="en-US" w:eastAsia="zh-CN"/>
        </w:rPr>
        <w:t>procedure</w:t>
      </w:r>
      <w:r>
        <w:rPr>
          <w:rFonts w:hint="default" w:eastAsia="宋体"/>
          <w:b/>
          <w:bCs/>
          <w:lang w:val="en-US" w:eastAsia="zh-CN"/>
        </w:rPr>
        <w:t xml:space="preserve"> can be used for </w:t>
      </w:r>
      <w:r>
        <w:rPr>
          <w:rFonts w:hint="eastAsia" w:eastAsia="宋体"/>
          <w:b/>
          <w:bCs/>
          <w:lang w:val="en-US" w:eastAsia="zh-CN"/>
        </w:rPr>
        <w:t xml:space="preserve">data traffic in </w:t>
      </w:r>
      <w:r>
        <w:rPr>
          <w:rFonts w:hint="default" w:eastAsia="宋体"/>
          <w:b/>
          <w:bCs/>
          <w:lang w:val="en-US" w:eastAsia="zh-CN"/>
        </w:rPr>
        <w:t>S&amp;F operation.</w:t>
      </w:r>
    </w:p>
    <w:p>
      <w:pPr>
        <w:widowControl w:val="0"/>
        <w:numPr>
          <w:ilvl w:val="0"/>
          <w:numId w:val="0"/>
        </w:numPr>
        <w:jc w:val="both"/>
        <w:rPr>
          <w:rFonts w:hint="default" w:eastAsia="宋体"/>
          <w:b w:val="0"/>
          <w:bCs w:val="0"/>
          <w:i/>
          <w:iCs/>
          <w:u w:val="single"/>
          <w:lang w:val="en-US" w:eastAsia="zh-CN"/>
        </w:rPr>
      </w:pPr>
      <w:r>
        <w:rPr>
          <w:rFonts w:hint="eastAsia" w:eastAsia="宋体"/>
          <w:b w:val="0"/>
          <w:bCs w:val="0"/>
          <w:i/>
          <w:iCs/>
          <w:u w:val="single"/>
          <w:lang w:val="en-US" w:eastAsia="zh-CN"/>
        </w:rPr>
        <w:t>Architecture</w:t>
      </w:r>
    </w:p>
    <w:p>
      <w:pPr>
        <w:adjustRightInd/>
        <w:spacing w:after="240" w:line="259" w:lineRule="auto"/>
        <w:contextualSpacing/>
        <w:jc w:val="both"/>
        <w:rPr>
          <w:rFonts w:hint="default"/>
          <w:b/>
          <w:bCs/>
          <w:highlight w:val="none"/>
          <w:lang w:val="en-US" w:eastAsia="zh-CN"/>
        </w:rPr>
      </w:pPr>
      <w:r>
        <w:rPr>
          <w:rFonts w:hint="eastAsia"/>
          <w:b/>
          <w:bCs/>
          <w:highlight w:val="none"/>
          <w:lang w:val="en-US" w:eastAsia="zh-CN"/>
        </w:rPr>
        <w:t>Proposal 1: It is proposed to support both MME-split architecture and full CN onboard architecture.</w:t>
      </w:r>
    </w:p>
    <w:p>
      <w:pPr>
        <w:adjustRightInd/>
        <w:spacing w:after="240" w:line="259" w:lineRule="auto"/>
        <w:contextualSpacing/>
        <w:jc w:val="both"/>
        <w:rPr>
          <w:rFonts w:hint="eastAsia"/>
          <w:b/>
          <w:bCs/>
          <w:highlight w:val="none"/>
          <w:lang w:val="en-US" w:eastAsia="zh-CN"/>
        </w:rPr>
      </w:pPr>
      <w:r>
        <w:rPr>
          <w:rFonts w:hint="eastAsia"/>
          <w:b/>
          <w:bCs/>
          <w:highlight w:val="none"/>
          <w:lang w:val="en-US" w:eastAsia="zh-CN"/>
        </w:rPr>
        <w:t>Proposal 2: It is proposed to take MME-split architecture as baseline in RAN2 discussion.</w:t>
      </w:r>
    </w:p>
    <w:p>
      <w:pPr>
        <w:adjustRightInd/>
        <w:spacing w:after="240" w:line="259" w:lineRule="auto"/>
        <w:contextualSpacing/>
        <w:jc w:val="both"/>
        <w:rPr>
          <w:rFonts w:hint="eastAsia"/>
          <w:b/>
          <w:bCs/>
          <w:highlight w:val="none"/>
          <w:lang w:val="en-US" w:eastAsia="zh-CN"/>
        </w:rPr>
      </w:pPr>
      <w:r>
        <w:rPr>
          <w:rFonts w:hint="eastAsia"/>
          <w:b/>
          <w:bCs/>
          <w:highlight w:val="none"/>
          <w:lang w:val="en-US" w:eastAsia="zh-CN"/>
        </w:rPr>
        <w:t>Proposal 3: It is proposed that RAN2 support both single satellite architecture and multiple satellites architecture in S&amp;F operation.</w:t>
      </w:r>
    </w:p>
    <w:p>
      <w:pPr>
        <w:adjustRightInd/>
        <w:spacing w:after="240" w:line="259" w:lineRule="auto"/>
        <w:contextualSpacing/>
        <w:jc w:val="both"/>
        <w:rPr>
          <w:rFonts w:hint="eastAsia"/>
          <w:b/>
          <w:bCs/>
          <w:highlight w:val="none"/>
          <w:lang w:val="en-US" w:eastAsia="zh-CN"/>
        </w:rPr>
      </w:pPr>
      <w:r>
        <w:rPr>
          <w:rFonts w:hint="eastAsia"/>
          <w:b/>
          <w:bCs/>
          <w:highlight w:val="none"/>
          <w:lang w:val="en-US" w:eastAsia="zh-CN"/>
        </w:rPr>
        <w:t>Proposal 4: It is proposed that RAN2 shall not exclude ISL and can wait for SA2 conclusion.</w:t>
      </w:r>
    </w:p>
    <w:p>
      <w:pPr>
        <w:widowControl w:val="0"/>
        <w:numPr>
          <w:ilvl w:val="0"/>
          <w:numId w:val="0"/>
        </w:numPr>
        <w:jc w:val="both"/>
        <w:rPr>
          <w:rFonts w:hint="eastAsia" w:eastAsia="宋体"/>
          <w:b w:val="0"/>
          <w:bCs w:val="0"/>
          <w:i/>
          <w:iCs/>
          <w:u w:val="single"/>
          <w:lang w:val="en-US" w:eastAsia="zh-CN"/>
        </w:rPr>
      </w:pPr>
      <w:r>
        <w:rPr>
          <w:rFonts w:hint="eastAsia" w:eastAsia="宋体"/>
          <w:b w:val="0"/>
          <w:bCs w:val="0"/>
          <w:i/>
          <w:iCs/>
          <w:u w:val="single"/>
          <w:lang w:val="en-US" w:eastAsia="zh-CN"/>
        </w:rPr>
        <w:t>Access control</w:t>
      </w:r>
    </w:p>
    <w:p>
      <w:pPr>
        <w:widowControl w:val="0"/>
        <w:numPr>
          <w:ilvl w:val="0"/>
          <w:numId w:val="0"/>
        </w:numPr>
        <w:jc w:val="both"/>
        <w:rPr>
          <w:rFonts w:hint="default" w:eastAsia="宋体"/>
          <w:b/>
          <w:bCs/>
          <w:lang w:val="en-US" w:eastAsia="zh-CN"/>
        </w:rPr>
      </w:pPr>
      <w:r>
        <w:rPr>
          <w:rFonts w:hint="eastAsia" w:eastAsia="宋体"/>
          <w:b/>
          <w:bCs/>
          <w:lang w:val="en-US" w:eastAsia="zh-CN"/>
        </w:rPr>
        <w:t>Proposal 5</w:t>
      </w:r>
      <w:r>
        <w:rPr>
          <w:rFonts w:hint="default" w:eastAsia="宋体"/>
          <w:b/>
          <w:bCs/>
          <w:lang w:val="en-US" w:eastAsia="zh-CN"/>
        </w:rPr>
        <w:t xml:space="preserve">: </w:t>
      </w:r>
      <w:r>
        <w:rPr>
          <w:rFonts w:hint="eastAsia" w:eastAsia="宋体"/>
          <w:b/>
          <w:bCs/>
          <w:lang w:val="en-US" w:eastAsia="zh-CN"/>
        </w:rPr>
        <w:t>It is proposed that legacy UEs should be barred by legacy cellBarred and cellBarredNTN</w:t>
      </w:r>
      <w:r>
        <w:rPr>
          <w:rFonts w:hint="default" w:eastAsia="宋体"/>
          <w:b/>
          <w:bCs/>
          <w:lang w:val="en-US" w:eastAsia="zh-CN"/>
        </w:rPr>
        <w:t>.</w:t>
      </w:r>
    </w:p>
    <w:p>
      <w:pPr>
        <w:widowControl w:val="0"/>
        <w:numPr>
          <w:ilvl w:val="0"/>
          <w:numId w:val="0"/>
        </w:numPr>
        <w:jc w:val="both"/>
        <w:rPr>
          <w:rFonts w:hint="eastAsia" w:eastAsia="宋体"/>
          <w:b/>
          <w:bCs/>
          <w:lang w:val="en-US" w:eastAsia="zh-CN"/>
        </w:rPr>
      </w:pPr>
      <w:r>
        <w:rPr>
          <w:rFonts w:hint="eastAsia" w:eastAsia="宋体"/>
          <w:b/>
          <w:bCs/>
          <w:lang w:val="en-US" w:eastAsia="zh-CN"/>
        </w:rPr>
        <w:t>Proposal 6</w:t>
      </w:r>
      <w:r>
        <w:rPr>
          <w:rFonts w:hint="default" w:eastAsia="宋体"/>
          <w:b/>
          <w:bCs/>
          <w:lang w:val="en-US" w:eastAsia="zh-CN"/>
        </w:rPr>
        <w:t xml:space="preserve">: </w:t>
      </w:r>
      <w:r>
        <w:rPr>
          <w:rFonts w:hint="eastAsia" w:eastAsia="宋体"/>
          <w:b/>
          <w:bCs/>
          <w:lang w:val="en-US" w:eastAsia="zh-CN"/>
        </w:rPr>
        <w:t>It is proposed to add a new barring indication in SIB1 message (e.g. cellBarredSF-r19)</w:t>
      </w:r>
      <w:r>
        <w:rPr>
          <w:rFonts w:hint="default" w:eastAsia="宋体"/>
          <w:b/>
          <w:bCs/>
          <w:lang w:val="en-US" w:eastAsia="zh-CN"/>
        </w:rPr>
        <w:t>.</w:t>
      </w:r>
    </w:p>
    <w:p>
      <w:pPr>
        <w:widowControl w:val="0"/>
        <w:numPr>
          <w:ilvl w:val="0"/>
          <w:numId w:val="0"/>
        </w:numPr>
        <w:jc w:val="both"/>
        <w:rPr>
          <w:rFonts w:hint="eastAsia" w:eastAsia="宋体"/>
          <w:b/>
          <w:bCs/>
          <w:lang w:val="en-US" w:eastAsia="zh-CN"/>
        </w:rPr>
      </w:pPr>
      <w:r>
        <w:rPr>
          <w:rFonts w:hint="eastAsia" w:eastAsia="宋体"/>
          <w:b/>
          <w:bCs/>
          <w:lang w:val="en-US" w:eastAsia="zh-CN"/>
        </w:rPr>
        <w:t>Proposal 7: UEs supporting S&amp;F operation can still access to the normal IoT NTN cell.</w:t>
      </w:r>
    </w:p>
    <w:p>
      <w:pPr>
        <w:widowControl w:val="0"/>
        <w:numPr>
          <w:ilvl w:val="0"/>
          <w:numId w:val="0"/>
        </w:numPr>
        <w:jc w:val="both"/>
        <w:rPr>
          <w:rFonts w:hint="default" w:eastAsia="宋体"/>
          <w:b/>
          <w:bCs/>
          <w:lang w:val="en-US" w:eastAsia="zh-CN"/>
        </w:rPr>
      </w:pPr>
      <w:r>
        <w:rPr>
          <w:rFonts w:hint="eastAsia" w:eastAsia="宋体"/>
          <w:b/>
          <w:bCs/>
          <w:lang w:val="en-US" w:eastAsia="zh-CN"/>
        </w:rPr>
        <w:t>Proposal 8: During the initial attach procedure,, if there is an available and accessible normal IoT NTN cell before the wait timer expires, UEs in S&amp;F operation can try to camp on.</w:t>
      </w:r>
    </w:p>
    <w:p>
      <w:pPr>
        <w:widowControl w:val="0"/>
        <w:numPr>
          <w:ilvl w:val="0"/>
          <w:numId w:val="0"/>
        </w:numPr>
        <w:jc w:val="both"/>
        <w:rPr>
          <w:rFonts w:hint="eastAsia" w:eastAsia="宋体"/>
          <w:b w:val="0"/>
          <w:bCs w:val="0"/>
          <w:i/>
          <w:iCs/>
          <w:u w:val="single"/>
          <w:lang w:val="en-US" w:eastAsia="zh-CN"/>
        </w:rPr>
      </w:pPr>
      <w:r>
        <w:rPr>
          <w:rFonts w:hint="eastAsia" w:eastAsia="宋体"/>
          <w:b w:val="0"/>
          <w:bCs w:val="0"/>
          <w:i/>
          <w:iCs/>
          <w:u w:val="single"/>
          <w:lang w:val="en-US" w:eastAsia="zh-CN"/>
        </w:rPr>
        <w:t>UP solution</w:t>
      </w:r>
    </w:p>
    <w:p>
      <w:pPr>
        <w:widowControl w:val="0"/>
        <w:numPr>
          <w:ilvl w:val="0"/>
          <w:numId w:val="0"/>
        </w:numPr>
        <w:jc w:val="both"/>
        <w:rPr>
          <w:rFonts w:hint="default" w:eastAsia="宋体"/>
          <w:b/>
          <w:bCs/>
          <w:lang w:val="en-US" w:eastAsia="zh-CN"/>
        </w:rPr>
      </w:pPr>
      <w:r>
        <w:rPr>
          <w:rFonts w:hint="eastAsia" w:eastAsia="宋体"/>
          <w:b/>
          <w:bCs/>
          <w:lang w:val="en-US" w:eastAsia="zh-CN"/>
        </w:rPr>
        <w:t>Proposal 9: It is proposed that RAN2 confirm l</w:t>
      </w:r>
      <w:r>
        <w:rPr>
          <w:rFonts w:hint="default" w:eastAsia="宋体"/>
          <w:b/>
          <w:bCs/>
          <w:lang w:val="en-US" w:eastAsia="zh-CN"/>
        </w:rPr>
        <w:t xml:space="preserve">egacy </w:t>
      </w:r>
      <w:r>
        <w:rPr>
          <w:rFonts w:hint="eastAsia" w:eastAsia="宋体"/>
          <w:b/>
          <w:bCs/>
          <w:lang w:val="en-US" w:eastAsia="zh-CN"/>
        </w:rPr>
        <w:t xml:space="preserve">CP and </w:t>
      </w:r>
      <w:r>
        <w:rPr>
          <w:rFonts w:hint="default" w:eastAsia="宋体"/>
          <w:b/>
          <w:bCs/>
          <w:lang w:val="en-US" w:eastAsia="zh-CN"/>
        </w:rPr>
        <w:t>UP solution</w:t>
      </w:r>
      <w:r>
        <w:rPr>
          <w:rFonts w:hint="eastAsia" w:eastAsia="宋体"/>
          <w:b/>
          <w:bCs/>
          <w:lang w:val="en-US" w:eastAsia="zh-CN"/>
        </w:rPr>
        <w:t xml:space="preserve"> </w:t>
      </w:r>
      <w:r>
        <w:rPr>
          <w:rFonts w:hint="default" w:eastAsia="宋体"/>
          <w:b/>
          <w:bCs/>
          <w:lang w:val="en-US" w:eastAsia="zh-CN"/>
        </w:rPr>
        <w:t xml:space="preserve">can be </w:t>
      </w:r>
      <w:r>
        <w:rPr>
          <w:rFonts w:hint="eastAsia" w:eastAsia="宋体"/>
          <w:b/>
          <w:bCs/>
          <w:lang w:val="en-US" w:eastAsia="zh-CN"/>
        </w:rPr>
        <w:t>re</w:t>
      </w:r>
      <w:r>
        <w:rPr>
          <w:rFonts w:hint="default" w:eastAsia="宋体"/>
          <w:b/>
          <w:bCs/>
          <w:lang w:val="en-US" w:eastAsia="zh-CN"/>
        </w:rPr>
        <w:t xml:space="preserve">used for </w:t>
      </w:r>
      <w:r>
        <w:rPr>
          <w:rFonts w:hint="eastAsia" w:eastAsia="宋体"/>
          <w:b/>
          <w:bCs/>
          <w:lang w:val="en-US" w:eastAsia="zh-CN"/>
        </w:rPr>
        <w:t xml:space="preserve">data traffic in </w:t>
      </w:r>
      <w:r>
        <w:rPr>
          <w:rFonts w:hint="default" w:eastAsia="宋体"/>
          <w:b/>
          <w:bCs/>
          <w:lang w:val="en-US" w:eastAsia="zh-CN"/>
        </w:rPr>
        <w:t>S&amp;F operation.</w:t>
      </w:r>
    </w:p>
    <w:p>
      <w:pPr>
        <w:widowControl w:val="0"/>
        <w:numPr>
          <w:ilvl w:val="0"/>
          <w:numId w:val="0"/>
        </w:numPr>
        <w:jc w:val="both"/>
        <w:rPr>
          <w:rFonts w:hint="eastAsia" w:eastAsia="宋体"/>
          <w:b w:val="0"/>
          <w:bCs w:val="0"/>
          <w:i/>
          <w:iCs/>
          <w:u w:val="single"/>
          <w:lang w:val="en-US" w:eastAsia="zh-CN"/>
        </w:rPr>
      </w:pPr>
      <w:r>
        <w:rPr>
          <w:rFonts w:hint="eastAsia" w:eastAsia="宋体"/>
          <w:b w:val="0"/>
          <w:bCs w:val="0"/>
          <w:i/>
          <w:iCs/>
          <w:u w:val="single"/>
          <w:lang w:val="en-US" w:eastAsia="zh-CN"/>
        </w:rPr>
        <w:t>Wait timer during the suspension</w:t>
      </w:r>
    </w:p>
    <w:p>
      <w:pPr>
        <w:widowControl w:val="0"/>
        <w:numPr>
          <w:ilvl w:val="0"/>
          <w:numId w:val="0"/>
        </w:numPr>
        <w:jc w:val="both"/>
        <w:rPr>
          <w:rFonts w:hint="default" w:eastAsia="宋体"/>
          <w:b/>
          <w:bCs/>
          <w:lang w:val="en-US" w:eastAsia="zh-CN"/>
        </w:rPr>
      </w:pPr>
      <w:r>
        <w:rPr>
          <w:rFonts w:hint="eastAsia" w:eastAsia="宋体"/>
          <w:b/>
          <w:bCs/>
          <w:lang w:val="en-US" w:eastAsia="zh-CN"/>
        </w:rPr>
        <w:t>Proposal 10: It is proposed to introduce a wait timer from satellite to UE to indicate the connection interruption time before the suspension</w:t>
      </w:r>
      <w:r>
        <w:rPr>
          <w:rFonts w:hint="default" w:eastAsia="宋体"/>
          <w:b/>
          <w:bCs/>
          <w:lang w:val="en-US" w:eastAsia="zh-CN"/>
        </w:rPr>
        <w:t>.</w:t>
      </w:r>
    </w:p>
    <w:p>
      <w:pPr>
        <w:pStyle w:val="2"/>
        <w:jc w:val="both"/>
      </w:pPr>
      <w:r>
        <w:t>References</w:t>
      </w:r>
    </w:p>
    <w:p>
      <w:pPr>
        <w:numPr>
          <w:ilvl w:val="0"/>
          <w:numId w:val="28"/>
        </w:numPr>
        <w:tabs>
          <w:tab w:val="left" w:pos="1985"/>
        </w:tabs>
        <w:adjustRightInd/>
        <w:ind w:left="1985" w:hanging="1985"/>
        <w:jc w:val="both"/>
        <w:rPr>
          <w:lang w:eastAsia="ko-KR"/>
        </w:rPr>
      </w:pPr>
      <w:r>
        <w:rPr>
          <w:rFonts w:hint="eastAsia"/>
          <w:bCs/>
        </w:rPr>
        <w:t>3GPP T</w:t>
      </w:r>
      <w:r>
        <w:rPr>
          <w:rFonts w:hint="eastAsia"/>
          <w:bCs/>
          <w:lang w:val="en-US" w:eastAsia="zh-CN"/>
        </w:rPr>
        <w:t>R</w:t>
      </w:r>
      <w:r>
        <w:rPr>
          <w:rFonts w:hint="eastAsia"/>
          <w:bCs/>
        </w:rPr>
        <w:t xml:space="preserve"> </w:t>
      </w:r>
      <w:r>
        <w:rPr>
          <w:rFonts w:hint="eastAsia" w:eastAsia="宋体"/>
          <w:lang w:val="en-US" w:eastAsia="zh-CN"/>
        </w:rPr>
        <w:t>23</w:t>
      </w:r>
      <w:r>
        <w:rPr>
          <w:rFonts w:hint="eastAsia" w:eastAsia="宋体"/>
        </w:rPr>
        <w:t>.</w:t>
      </w:r>
      <w:r>
        <w:rPr>
          <w:rFonts w:hint="eastAsia" w:eastAsia="宋体"/>
          <w:lang w:val="en-US" w:eastAsia="zh-CN"/>
        </w:rPr>
        <w:t>700-29</w:t>
      </w:r>
      <w:r>
        <w:rPr>
          <w:rFonts w:hint="eastAsia" w:eastAsia="宋体"/>
        </w:rPr>
        <w:t xml:space="preserve">, </w:t>
      </w:r>
      <w:r>
        <w:rPr>
          <w:rFonts w:hint="eastAsia"/>
        </w:rPr>
        <w:t>Study on integration of satellite components</w:t>
      </w:r>
      <w:r>
        <w:rPr>
          <w:rFonts w:hint="eastAsia"/>
          <w:lang w:val="en-US" w:eastAsia="zh-CN"/>
        </w:rPr>
        <w:t xml:space="preserve"> </w:t>
      </w:r>
      <w:r>
        <w:rPr>
          <w:rFonts w:hint="eastAsia"/>
        </w:rPr>
        <w:t>in the 5G architecture</w:t>
      </w:r>
      <w:r>
        <w:rPr>
          <w:rFonts w:hint="eastAsia"/>
          <w:lang w:val="en-US" w:eastAsia="zh-CN"/>
        </w:rPr>
        <w:t>; Phase 3 (Release 19)</w:t>
      </w:r>
    </w:p>
    <w:p>
      <w:pPr>
        <w:numPr>
          <w:ilvl w:val="0"/>
          <w:numId w:val="28"/>
        </w:numPr>
        <w:tabs>
          <w:tab w:val="left" w:pos="1985"/>
        </w:tabs>
        <w:adjustRightInd/>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w:t>
      </w:r>
      <w:r>
        <w:rPr>
          <w:rFonts w:hint="eastAsia"/>
          <w:bCs/>
          <w:lang w:val="en-US" w:eastAsia="zh-CN"/>
        </w:rPr>
        <w:t>6</w:t>
      </w:r>
      <w:r>
        <w:rPr>
          <w:rFonts w:hint="default"/>
          <w:bCs/>
        </w:rPr>
        <w:t xml:space="preserve"> NR-NTN-IoT-NTN (Sergio) EOM</w:t>
      </w:r>
    </w:p>
    <w:p>
      <w:pPr>
        <w:numPr>
          <w:ilvl w:val="0"/>
          <w:numId w:val="28"/>
        </w:numPr>
        <w:tabs>
          <w:tab w:val="left" w:pos="1985"/>
        </w:tabs>
        <w:adjustRightInd/>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R2-125bis NR-NTN-IoT-NTN (Sergio) EOM</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0000000000000000000"/>
    <w:charset w:val="00"/>
    <w:family w:val="swiss"/>
    <w:pitch w:val="default"/>
    <w:sig w:usb0="00000000" w:usb1="00000000" w:usb2="00000000" w:usb3="00000000" w:csb0="2000019F" w:csb1="4F01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494013"/>
    <w:multiLevelType w:val="singleLevel"/>
    <w:tmpl w:val="0249401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4">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1"/>
  </w:num>
  <w:num w:numId="2">
    <w:abstractNumId w:val="0"/>
  </w:num>
  <w:num w:numId="3">
    <w:abstractNumId w:val="25"/>
  </w:num>
  <w:num w:numId="4">
    <w:abstractNumId w:val="12"/>
  </w:num>
  <w:num w:numId="5">
    <w:abstractNumId w:val="8"/>
  </w:num>
  <w:num w:numId="6">
    <w:abstractNumId w:val="10"/>
  </w:num>
  <w:num w:numId="7">
    <w:abstractNumId w:val="13"/>
  </w:num>
  <w:num w:numId="8">
    <w:abstractNumId w:val="14"/>
  </w:num>
  <w:num w:numId="9">
    <w:abstractNumId w:val="27"/>
  </w:num>
  <w:num w:numId="10">
    <w:abstractNumId w:val="15"/>
  </w:num>
  <w:num w:numId="11">
    <w:abstractNumId w:val="23"/>
  </w:num>
  <w:num w:numId="12">
    <w:abstractNumId w:val="11"/>
  </w:num>
  <w:num w:numId="13">
    <w:abstractNumId w:val="2"/>
  </w:num>
  <w:num w:numId="14">
    <w:abstractNumId w:val="4"/>
  </w:num>
  <w:num w:numId="15">
    <w:abstractNumId w:val="22"/>
  </w:num>
  <w:num w:numId="16">
    <w:abstractNumId w:val="7"/>
  </w:num>
  <w:num w:numId="17">
    <w:abstractNumId w:val="18"/>
  </w:num>
  <w:num w:numId="18">
    <w:abstractNumId w:val="24"/>
  </w:num>
  <w:num w:numId="19">
    <w:abstractNumId w:val="3"/>
  </w:num>
  <w:num w:numId="20">
    <w:abstractNumId w:val="26"/>
  </w:num>
  <w:num w:numId="21">
    <w:abstractNumId w:val="20"/>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OWM4ZTlmYTYxZmUwYjBmMDk4ZmVjZjNmMWQ3ZjE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78"/>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F3874"/>
    <w:rsid w:val="01700864"/>
    <w:rsid w:val="01832CBA"/>
    <w:rsid w:val="01842E70"/>
    <w:rsid w:val="01873840"/>
    <w:rsid w:val="01A05965"/>
    <w:rsid w:val="01A77D63"/>
    <w:rsid w:val="01BFAE9A"/>
    <w:rsid w:val="01DE3393"/>
    <w:rsid w:val="01E42444"/>
    <w:rsid w:val="01EC1AE7"/>
    <w:rsid w:val="01FA450B"/>
    <w:rsid w:val="01FB425C"/>
    <w:rsid w:val="020E1AA3"/>
    <w:rsid w:val="0227194A"/>
    <w:rsid w:val="023D4A41"/>
    <w:rsid w:val="025B0A58"/>
    <w:rsid w:val="025D2470"/>
    <w:rsid w:val="0276784A"/>
    <w:rsid w:val="027B3ED9"/>
    <w:rsid w:val="02AB78A7"/>
    <w:rsid w:val="02B65D5B"/>
    <w:rsid w:val="02C34159"/>
    <w:rsid w:val="02C92F30"/>
    <w:rsid w:val="02CD1073"/>
    <w:rsid w:val="02EB1AD6"/>
    <w:rsid w:val="030848E7"/>
    <w:rsid w:val="030E3C83"/>
    <w:rsid w:val="030F7C19"/>
    <w:rsid w:val="032E5078"/>
    <w:rsid w:val="035C7A28"/>
    <w:rsid w:val="035D1B01"/>
    <w:rsid w:val="038F0263"/>
    <w:rsid w:val="0392734D"/>
    <w:rsid w:val="03A300F7"/>
    <w:rsid w:val="03A515A1"/>
    <w:rsid w:val="03B175C4"/>
    <w:rsid w:val="03B67E06"/>
    <w:rsid w:val="03B91D4B"/>
    <w:rsid w:val="03C70711"/>
    <w:rsid w:val="03DA23EB"/>
    <w:rsid w:val="04080A73"/>
    <w:rsid w:val="042F14C5"/>
    <w:rsid w:val="0444242C"/>
    <w:rsid w:val="045308D9"/>
    <w:rsid w:val="045D09F3"/>
    <w:rsid w:val="045F4DED"/>
    <w:rsid w:val="046702C7"/>
    <w:rsid w:val="04685349"/>
    <w:rsid w:val="046F4A9A"/>
    <w:rsid w:val="04A70542"/>
    <w:rsid w:val="04B403C6"/>
    <w:rsid w:val="04B42320"/>
    <w:rsid w:val="04B57040"/>
    <w:rsid w:val="04E464D2"/>
    <w:rsid w:val="04E8635A"/>
    <w:rsid w:val="04F206B2"/>
    <w:rsid w:val="050A125C"/>
    <w:rsid w:val="053104EC"/>
    <w:rsid w:val="053243B7"/>
    <w:rsid w:val="05433B3B"/>
    <w:rsid w:val="0552166D"/>
    <w:rsid w:val="055E09C8"/>
    <w:rsid w:val="055E3016"/>
    <w:rsid w:val="056F31B8"/>
    <w:rsid w:val="05806D70"/>
    <w:rsid w:val="05807774"/>
    <w:rsid w:val="05896D6E"/>
    <w:rsid w:val="059C6674"/>
    <w:rsid w:val="05A31ECA"/>
    <w:rsid w:val="05C226E1"/>
    <w:rsid w:val="05CA35C7"/>
    <w:rsid w:val="05E0590D"/>
    <w:rsid w:val="05FD0556"/>
    <w:rsid w:val="060706F2"/>
    <w:rsid w:val="060A6A57"/>
    <w:rsid w:val="060E0805"/>
    <w:rsid w:val="062F3A9D"/>
    <w:rsid w:val="06313A82"/>
    <w:rsid w:val="063365EE"/>
    <w:rsid w:val="063659DA"/>
    <w:rsid w:val="06521711"/>
    <w:rsid w:val="06523A46"/>
    <w:rsid w:val="0679036E"/>
    <w:rsid w:val="067B1A3C"/>
    <w:rsid w:val="06AF3684"/>
    <w:rsid w:val="06B4338F"/>
    <w:rsid w:val="06BD45EC"/>
    <w:rsid w:val="06C527BB"/>
    <w:rsid w:val="06C647BA"/>
    <w:rsid w:val="06CB4A9E"/>
    <w:rsid w:val="06D135CC"/>
    <w:rsid w:val="06D36AD0"/>
    <w:rsid w:val="06DE1ACC"/>
    <w:rsid w:val="06E50F2B"/>
    <w:rsid w:val="06F853B7"/>
    <w:rsid w:val="070161B3"/>
    <w:rsid w:val="07056DF5"/>
    <w:rsid w:val="070F42CB"/>
    <w:rsid w:val="071A5388"/>
    <w:rsid w:val="071E07D6"/>
    <w:rsid w:val="072A0C17"/>
    <w:rsid w:val="074D53D1"/>
    <w:rsid w:val="07564E8D"/>
    <w:rsid w:val="076F326B"/>
    <w:rsid w:val="078375DC"/>
    <w:rsid w:val="078D55C9"/>
    <w:rsid w:val="079A04BD"/>
    <w:rsid w:val="07AB3211"/>
    <w:rsid w:val="07BC1C0A"/>
    <w:rsid w:val="07BF1EE9"/>
    <w:rsid w:val="07DD28AB"/>
    <w:rsid w:val="07DE0E33"/>
    <w:rsid w:val="07E469BF"/>
    <w:rsid w:val="08056B55"/>
    <w:rsid w:val="08117737"/>
    <w:rsid w:val="08174E79"/>
    <w:rsid w:val="08177A32"/>
    <w:rsid w:val="08315CF8"/>
    <w:rsid w:val="08363A09"/>
    <w:rsid w:val="086D4748"/>
    <w:rsid w:val="08A45DF4"/>
    <w:rsid w:val="08AB062A"/>
    <w:rsid w:val="08AF0776"/>
    <w:rsid w:val="08B31AE1"/>
    <w:rsid w:val="08D538D0"/>
    <w:rsid w:val="08E54928"/>
    <w:rsid w:val="08EB0C1D"/>
    <w:rsid w:val="08FD5D65"/>
    <w:rsid w:val="0918152C"/>
    <w:rsid w:val="09196B83"/>
    <w:rsid w:val="092411E2"/>
    <w:rsid w:val="093B1FBE"/>
    <w:rsid w:val="0942392A"/>
    <w:rsid w:val="09554244"/>
    <w:rsid w:val="095F0A6F"/>
    <w:rsid w:val="096B504E"/>
    <w:rsid w:val="096D6A73"/>
    <w:rsid w:val="09705D19"/>
    <w:rsid w:val="098D32A6"/>
    <w:rsid w:val="09A1520F"/>
    <w:rsid w:val="09AD672F"/>
    <w:rsid w:val="09B13E21"/>
    <w:rsid w:val="09B41CA1"/>
    <w:rsid w:val="09BD6330"/>
    <w:rsid w:val="09D702BC"/>
    <w:rsid w:val="0A0E3D07"/>
    <w:rsid w:val="0A380F28"/>
    <w:rsid w:val="0A666B2A"/>
    <w:rsid w:val="0A87677A"/>
    <w:rsid w:val="0A9749D3"/>
    <w:rsid w:val="0ABB76F1"/>
    <w:rsid w:val="0ABFCAE3"/>
    <w:rsid w:val="0AED09C6"/>
    <w:rsid w:val="0AF7356B"/>
    <w:rsid w:val="0B2226D0"/>
    <w:rsid w:val="0B32686B"/>
    <w:rsid w:val="0B4273D0"/>
    <w:rsid w:val="0B4A1D77"/>
    <w:rsid w:val="0B4D7C8D"/>
    <w:rsid w:val="0B6D0532"/>
    <w:rsid w:val="0B811AED"/>
    <w:rsid w:val="0B9D1EDA"/>
    <w:rsid w:val="0BAF39BC"/>
    <w:rsid w:val="0BB946FF"/>
    <w:rsid w:val="0BBF38E5"/>
    <w:rsid w:val="0BCF2907"/>
    <w:rsid w:val="0BDF7FE1"/>
    <w:rsid w:val="0BE85556"/>
    <w:rsid w:val="0BEF6379"/>
    <w:rsid w:val="0BFC3CFF"/>
    <w:rsid w:val="0C0C0559"/>
    <w:rsid w:val="0C1D440F"/>
    <w:rsid w:val="0C284EC8"/>
    <w:rsid w:val="0C3F38BA"/>
    <w:rsid w:val="0C4A1412"/>
    <w:rsid w:val="0C973F44"/>
    <w:rsid w:val="0CB30B60"/>
    <w:rsid w:val="0CBD4403"/>
    <w:rsid w:val="0D013BBD"/>
    <w:rsid w:val="0D0718B9"/>
    <w:rsid w:val="0D217B8D"/>
    <w:rsid w:val="0D2917E3"/>
    <w:rsid w:val="0D2B0F8F"/>
    <w:rsid w:val="0D2F3C11"/>
    <w:rsid w:val="0D641404"/>
    <w:rsid w:val="0D65199B"/>
    <w:rsid w:val="0D7C1637"/>
    <w:rsid w:val="0D8A0195"/>
    <w:rsid w:val="0D8A2613"/>
    <w:rsid w:val="0D8B4B92"/>
    <w:rsid w:val="0D92096D"/>
    <w:rsid w:val="0DC86AD9"/>
    <w:rsid w:val="0DEC7475"/>
    <w:rsid w:val="0E0B1B42"/>
    <w:rsid w:val="0E1A0520"/>
    <w:rsid w:val="0E22667F"/>
    <w:rsid w:val="0E4C269D"/>
    <w:rsid w:val="0E5F500E"/>
    <w:rsid w:val="0E612181"/>
    <w:rsid w:val="0E657CC6"/>
    <w:rsid w:val="0E6755CC"/>
    <w:rsid w:val="0E721BC1"/>
    <w:rsid w:val="0E742594"/>
    <w:rsid w:val="0E7A5965"/>
    <w:rsid w:val="0EB02D5D"/>
    <w:rsid w:val="0EB0481F"/>
    <w:rsid w:val="0EB31C68"/>
    <w:rsid w:val="0EBF58D7"/>
    <w:rsid w:val="0ECF0C53"/>
    <w:rsid w:val="0EE41340"/>
    <w:rsid w:val="0EED5FFB"/>
    <w:rsid w:val="0EF21695"/>
    <w:rsid w:val="0F3410AE"/>
    <w:rsid w:val="0F403C9D"/>
    <w:rsid w:val="0F425016"/>
    <w:rsid w:val="0F51018B"/>
    <w:rsid w:val="0F624883"/>
    <w:rsid w:val="0F6428CD"/>
    <w:rsid w:val="0F771228"/>
    <w:rsid w:val="0FAA2CD8"/>
    <w:rsid w:val="0FAD2E15"/>
    <w:rsid w:val="0FB17ACB"/>
    <w:rsid w:val="0FB3423F"/>
    <w:rsid w:val="0FC67B61"/>
    <w:rsid w:val="0FD82162"/>
    <w:rsid w:val="0FDB3902"/>
    <w:rsid w:val="0FDF62CB"/>
    <w:rsid w:val="0FE20680"/>
    <w:rsid w:val="0FE4746B"/>
    <w:rsid w:val="0FE81BCC"/>
    <w:rsid w:val="0FE864B1"/>
    <w:rsid w:val="0FE92E69"/>
    <w:rsid w:val="0FF16A91"/>
    <w:rsid w:val="10042CED"/>
    <w:rsid w:val="1007595A"/>
    <w:rsid w:val="100B30CB"/>
    <w:rsid w:val="100C2D50"/>
    <w:rsid w:val="10267E1A"/>
    <w:rsid w:val="103F2A0A"/>
    <w:rsid w:val="105D3236"/>
    <w:rsid w:val="1088161D"/>
    <w:rsid w:val="10B4026F"/>
    <w:rsid w:val="10C3028B"/>
    <w:rsid w:val="10C37F71"/>
    <w:rsid w:val="111067C2"/>
    <w:rsid w:val="111A1F60"/>
    <w:rsid w:val="11244E4F"/>
    <w:rsid w:val="11652D87"/>
    <w:rsid w:val="116C3E69"/>
    <w:rsid w:val="1175638D"/>
    <w:rsid w:val="118925D3"/>
    <w:rsid w:val="11925166"/>
    <w:rsid w:val="119E6AC4"/>
    <w:rsid w:val="11AB0120"/>
    <w:rsid w:val="11C7409E"/>
    <w:rsid w:val="11C87E11"/>
    <w:rsid w:val="11D47AC4"/>
    <w:rsid w:val="11D7130D"/>
    <w:rsid w:val="11E95A8C"/>
    <w:rsid w:val="11F86EF9"/>
    <w:rsid w:val="11FB3F48"/>
    <w:rsid w:val="11FB7852"/>
    <w:rsid w:val="121014F6"/>
    <w:rsid w:val="121421B7"/>
    <w:rsid w:val="126C1840"/>
    <w:rsid w:val="12712EF2"/>
    <w:rsid w:val="127B7A0A"/>
    <w:rsid w:val="12960B26"/>
    <w:rsid w:val="129E6898"/>
    <w:rsid w:val="12CD26D1"/>
    <w:rsid w:val="12D270D2"/>
    <w:rsid w:val="12DA33CA"/>
    <w:rsid w:val="12EC2AC3"/>
    <w:rsid w:val="12FD4AB1"/>
    <w:rsid w:val="13035AB6"/>
    <w:rsid w:val="13041DB3"/>
    <w:rsid w:val="132414A3"/>
    <w:rsid w:val="134555D6"/>
    <w:rsid w:val="134A7123"/>
    <w:rsid w:val="135B2844"/>
    <w:rsid w:val="13887AF9"/>
    <w:rsid w:val="138E4DA7"/>
    <w:rsid w:val="13A20C9E"/>
    <w:rsid w:val="13B50669"/>
    <w:rsid w:val="13B74306"/>
    <w:rsid w:val="13F56BD4"/>
    <w:rsid w:val="14062C4D"/>
    <w:rsid w:val="141472D0"/>
    <w:rsid w:val="14225B13"/>
    <w:rsid w:val="14246A1F"/>
    <w:rsid w:val="14274617"/>
    <w:rsid w:val="142D0203"/>
    <w:rsid w:val="143A7171"/>
    <w:rsid w:val="144E1A7C"/>
    <w:rsid w:val="14587793"/>
    <w:rsid w:val="14650CAE"/>
    <w:rsid w:val="147113CB"/>
    <w:rsid w:val="14763BA7"/>
    <w:rsid w:val="148114CB"/>
    <w:rsid w:val="14921F90"/>
    <w:rsid w:val="149B6FD1"/>
    <w:rsid w:val="14A437A0"/>
    <w:rsid w:val="14B62267"/>
    <w:rsid w:val="14C758E7"/>
    <w:rsid w:val="14D60C00"/>
    <w:rsid w:val="14EA10B9"/>
    <w:rsid w:val="150264CD"/>
    <w:rsid w:val="15391F01"/>
    <w:rsid w:val="153C2764"/>
    <w:rsid w:val="156E6D8C"/>
    <w:rsid w:val="156F0C08"/>
    <w:rsid w:val="156F2263"/>
    <w:rsid w:val="15724F8B"/>
    <w:rsid w:val="15B44299"/>
    <w:rsid w:val="15DD707B"/>
    <w:rsid w:val="15E662A0"/>
    <w:rsid w:val="160209DF"/>
    <w:rsid w:val="16117F11"/>
    <w:rsid w:val="16240E56"/>
    <w:rsid w:val="162A21E9"/>
    <w:rsid w:val="163D0174"/>
    <w:rsid w:val="1669724C"/>
    <w:rsid w:val="16754CF7"/>
    <w:rsid w:val="167939BA"/>
    <w:rsid w:val="16811702"/>
    <w:rsid w:val="169C020A"/>
    <w:rsid w:val="16C97B1E"/>
    <w:rsid w:val="16FD4684"/>
    <w:rsid w:val="16FF2744"/>
    <w:rsid w:val="17090886"/>
    <w:rsid w:val="172F756B"/>
    <w:rsid w:val="174C573A"/>
    <w:rsid w:val="17530D3F"/>
    <w:rsid w:val="17637CAA"/>
    <w:rsid w:val="17642A82"/>
    <w:rsid w:val="1764310D"/>
    <w:rsid w:val="17880428"/>
    <w:rsid w:val="179C3BAA"/>
    <w:rsid w:val="17DA3C99"/>
    <w:rsid w:val="17E71267"/>
    <w:rsid w:val="17F42790"/>
    <w:rsid w:val="181C3988"/>
    <w:rsid w:val="18311F9D"/>
    <w:rsid w:val="1858112E"/>
    <w:rsid w:val="1864683F"/>
    <w:rsid w:val="187003CA"/>
    <w:rsid w:val="1870271F"/>
    <w:rsid w:val="18756F44"/>
    <w:rsid w:val="18764D00"/>
    <w:rsid w:val="188522AB"/>
    <w:rsid w:val="18B67761"/>
    <w:rsid w:val="18D43A8C"/>
    <w:rsid w:val="18DD4580"/>
    <w:rsid w:val="18F04206"/>
    <w:rsid w:val="18FD04BD"/>
    <w:rsid w:val="19122360"/>
    <w:rsid w:val="192A5F9C"/>
    <w:rsid w:val="192E3BDE"/>
    <w:rsid w:val="19610796"/>
    <w:rsid w:val="19625EA7"/>
    <w:rsid w:val="19670E1A"/>
    <w:rsid w:val="198B4299"/>
    <w:rsid w:val="198C3F9E"/>
    <w:rsid w:val="19B063A8"/>
    <w:rsid w:val="19B513D5"/>
    <w:rsid w:val="19CC392B"/>
    <w:rsid w:val="19FA202D"/>
    <w:rsid w:val="19FC4481"/>
    <w:rsid w:val="1A0B7235"/>
    <w:rsid w:val="1A0C5994"/>
    <w:rsid w:val="1A1E312F"/>
    <w:rsid w:val="1A200A73"/>
    <w:rsid w:val="1A201A21"/>
    <w:rsid w:val="1A2A4CCA"/>
    <w:rsid w:val="1A2D0BB7"/>
    <w:rsid w:val="1A440536"/>
    <w:rsid w:val="1A544300"/>
    <w:rsid w:val="1A734F0A"/>
    <w:rsid w:val="1A847D79"/>
    <w:rsid w:val="1A9351CC"/>
    <w:rsid w:val="1AE9373A"/>
    <w:rsid w:val="1AF00B66"/>
    <w:rsid w:val="1AF744A0"/>
    <w:rsid w:val="1AF74BFB"/>
    <w:rsid w:val="1B030291"/>
    <w:rsid w:val="1B1E08AD"/>
    <w:rsid w:val="1B1F2A63"/>
    <w:rsid w:val="1B2E0911"/>
    <w:rsid w:val="1B39581A"/>
    <w:rsid w:val="1B3CCEB6"/>
    <w:rsid w:val="1B4B454D"/>
    <w:rsid w:val="1B4F16E8"/>
    <w:rsid w:val="1B521834"/>
    <w:rsid w:val="1B523BB6"/>
    <w:rsid w:val="1B5D0142"/>
    <w:rsid w:val="1B7549E9"/>
    <w:rsid w:val="1B840E0F"/>
    <w:rsid w:val="1B8766FD"/>
    <w:rsid w:val="1B8E6BCD"/>
    <w:rsid w:val="1B91521D"/>
    <w:rsid w:val="1BA974EF"/>
    <w:rsid w:val="1BB15B77"/>
    <w:rsid w:val="1BB57BDE"/>
    <w:rsid w:val="1BBF4C1C"/>
    <w:rsid w:val="1BCF1086"/>
    <w:rsid w:val="1BEA0FE8"/>
    <w:rsid w:val="1BF35266"/>
    <w:rsid w:val="1BFDDD07"/>
    <w:rsid w:val="1C0A197B"/>
    <w:rsid w:val="1C1355FA"/>
    <w:rsid w:val="1C1E3D78"/>
    <w:rsid w:val="1C247316"/>
    <w:rsid w:val="1C2709E7"/>
    <w:rsid w:val="1C3E267B"/>
    <w:rsid w:val="1C430D27"/>
    <w:rsid w:val="1C4E1D4E"/>
    <w:rsid w:val="1C593326"/>
    <w:rsid w:val="1C6875C3"/>
    <w:rsid w:val="1C692D59"/>
    <w:rsid w:val="1C911B84"/>
    <w:rsid w:val="1C990B9B"/>
    <w:rsid w:val="1C9F2908"/>
    <w:rsid w:val="1CA15224"/>
    <w:rsid w:val="1CBB0016"/>
    <w:rsid w:val="1CD328A7"/>
    <w:rsid w:val="1CD46CF8"/>
    <w:rsid w:val="1CEA5442"/>
    <w:rsid w:val="1CF16498"/>
    <w:rsid w:val="1CFA3FB4"/>
    <w:rsid w:val="1CFC540D"/>
    <w:rsid w:val="1D150FC5"/>
    <w:rsid w:val="1D1720A0"/>
    <w:rsid w:val="1D207CA9"/>
    <w:rsid w:val="1D2B18B9"/>
    <w:rsid w:val="1D2B272B"/>
    <w:rsid w:val="1D335F4F"/>
    <w:rsid w:val="1D452306"/>
    <w:rsid w:val="1D73A2A9"/>
    <w:rsid w:val="1D7D05B1"/>
    <w:rsid w:val="1D8A755E"/>
    <w:rsid w:val="1D995E6E"/>
    <w:rsid w:val="1DA6457A"/>
    <w:rsid w:val="1DD71A40"/>
    <w:rsid w:val="1DDB5CA8"/>
    <w:rsid w:val="1DEB1059"/>
    <w:rsid w:val="1E0F6EB6"/>
    <w:rsid w:val="1E15092B"/>
    <w:rsid w:val="1E1665EA"/>
    <w:rsid w:val="1E3C7C2A"/>
    <w:rsid w:val="1E3D5D47"/>
    <w:rsid w:val="1E4D4571"/>
    <w:rsid w:val="1E571016"/>
    <w:rsid w:val="1E67352C"/>
    <w:rsid w:val="1E7D6B4F"/>
    <w:rsid w:val="1EB50F1D"/>
    <w:rsid w:val="1EBC3474"/>
    <w:rsid w:val="1ED372E1"/>
    <w:rsid w:val="1ED56363"/>
    <w:rsid w:val="1ED744A9"/>
    <w:rsid w:val="1EF7446D"/>
    <w:rsid w:val="1EFEE7AD"/>
    <w:rsid w:val="1EFF2823"/>
    <w:rsid w:val="1F0054E3"/>
    <w:rsid w:val="1F0A132A"/>
    <w:rsid w:val="1F14527F"/>
    <w:rsid w:val="1F3232CA"/>
    <w:rsid w:val="1F544AE7"/>
    <w:rsid w:val="1F8D7653"/>
    <w:rsid w:val="1F953F9B"/>
    <w:rsid w:val="1F973C6D"/>
    <w:rsid w:val="1FA65D1D"/>
    <w:rsid w:val="1FA7FC68"/>
    <w:rsid w:val="1FAC649A"/>
    <w:rsid w:val="1FBD5124"/>
    <w:rsid w:val="1FBDEAB5"/>
    <w:rsid w:val="1FC1490D"/>
    <w:rsid w:val="1FDE21BC"/>
    <w:rsid w:val="1FF3AF13"/>
    <w:rsid w:val="1FFA551A"/>
    <w:rsid w:val="200F0889"/>
    <w:rsid w:val="201B0411"/>
    <w:rsid w:val="202E0280"/>
    <w:rsid w:val="20344F28"/>
    <w:rsid w:val="203C5F6F"/>
    <w:rsid w:val="20511A6A"/>
    <w:rsid w:val="2057386D"/>
    <w:rsid w:val="20772183"/>
    <w:rsid w:val="20883AB5"/>
    <w:rsid w:val="208E119D"/>
    <w:rsid w:val="20916E70"/>
    <w:rsid w:val="209C24C7"/>
    <w:rsid w:val="20C96E58"/>
    <w:rsid w:val="20CC33B3"/>
    <w:rsid w:val="20D0177A"/>
    <w:rsid w:val="20DD6123"/>
    <w:rsid w:val="20DF5810"/>
    <w:rsid w:val="20EE113B"/>
    <w:rsid w:val="20FD0704"/>
    <w:rsid w:val="21100F4E"/>
    <w:rsid w:val="211F7986"/>
    <w:rsid w:val="212F30E0"/>
    <w:rsid w:val="2144434B"/>
    <w:rsid w:val="214A6276"/>
    <w:rsid w:val="215640D4"/>
    <w:rsid w:val="215A1AE8"/>
    <w:rsid w:val="21725D75"/>
    <w:rsid w:val="21880BBA"/>
    <w:rsid w:val="21883391"/>
    <w:rsid w:val="219951C9"/>
    <w:rsid w:val="21A7698E"/>
    <w:rsid w:val="21A8300F"/>
    <w:rsid w:val="21A93F47"/>
    <w:rsid w:val="21B95DF9"/>
    <w:rsid w:val="21BA5141"/>
    <w:rsid w:val="21BF1470"/>
    <w:rsid w:val="21F0107D"/>
    <w:rsid w:val="220021FF"/>
    <w:rsid w:val="22486A9B"/>
    <w:rsid w:val="224E18AF"/>
    <w:rsid w:val="22627E92"/>
    <w:rsid w:val="227007B2"/>
    <w:rsid w:val="227B42A0"/>
    <w:rsid w:val="229141AD"/>
    <w:rsid w:val="229321A2"/>
    <w:rsid w:val="229376B9"/>
    <w:rsid w:val="22954E49"/>
    <w:rsid w:val="229677D4"/>
    <w:rsid w:val="22AF411A"/>
    <w:rsid w:val="22BD3BF6"/>
    <w:rsid w:val="22BE3CFE"/>
    <w:rsid w:val="22CB5B7B"/>
    <w:rsid w:val="22EF2060"/>
    <w:rsid w:val="22F93F5E"/>
    <w:rsid w:val="22FC1BAD"/>
    <w:rsid w:val="23023A13"/>
    <w:rsid w:val="2313678A"/>
    <w:rsid w:val="231836E5"/>
    <w:rsid w:val="232F75C6"/>
    <w:rsid w:val="2334020F"/>
    <w:rsid w:val="23387DA7"/>
    <w:rsid w:val="233A7490"/>
    <w:rsid w:val="233E5332"/>
    <w:rsid w:val="23485D5B"/>
    <w:rsid w:val="238B4E5F"/>
    <w:rsid w:val="239D1587"/>
    <w:rsid w:val="23AC574C"/>
    <w:rsid w:val="23C20F3E"/>
    <w:rsid w:val="23C41629"/>
    <w:rsid w:val="23F52C20"/>
    <w:rsid w:val="24091697"/>
    <w:rsid w:val="2417512A"/>
    <w:rsid w:val="243D7BB4"/>
    <w:rsid w:val="24412907"/>
    <w:rsid w:val="24483907"/>
    <w:rsid w:val="2455387F"/>
    <w:rsid w:val="245576DD"/>
    <w:rsid w:val="245579D7"/>
    <w:rsid w:val="24961947"/>
    <w:rsid w:val="249726CE"/>
    <w:rsid w:val="249D0B38"/>
    <w:rsid w:val="24A33F9D"/>
    <w:rsid w:val="24A422CE"/>
    <w:rsid w:val="24D874FB"/>
    <w:rsid w:val="24E32DA5"/>
    <w:rsid w:val="24EE3868"/>
    <w:rsid w:val="24F054FE"/>
    <w:rsid w:val="24F95669"/>
    <w:rsid w:val="25072BA2"/>
    <w:rsid w:val="250A75F0"/>
    <w:rsid w:val="250B41A6"/>
    <w:rsid w:val="25277A37"/>
    <w:rsid w:val="252F40FE"/>
    <w:rsid w:val="2536352D"/>
    <w:rsid w:val="254F64C4"/>
    <w:rsid w:val="25506221"/>
    <w:rsid w:val="25780343"/>
    <w:rsid w:val="25806F58"/>
    <w:rsid w:val="258F249D"/>
    <w:rsid w:val="259148E5"/>
    <w:rsid w:val="25A66C1E"/>
    <w:rsid w:val="25A72122"/>
    <w:rsid w:val="25AA3C81"/>
    <w:rsid w:val="25BA7556"/>
    <w:rsid w:val="25C703D4"/>
    <w:rsid w:val="25F77368"/>
    <w:rsid w:val="25F92BA2"/>
    <w:rsid w:val="26085690"/>
    <w:rsid w:val="2611234C"/>
    <w:rsid w:val="26157A9A"/>
    <w:rsid w:val="26166C60"/>
    <w:rsid w:val="262162A4"/>
    <w:rsid w:val="262A7837"/>
    <w:rsid w:val="26370F9E"/>
    <w:rsid w:val="264520D7"/>
    <w:rsid w:val="264A04A5"/>
    <w:rsid w:val="26770BF0"/>
    <w:rsid w:val="26784C00"/>
    <w:rsid w:val="2684172F"/>
    <w:rsid w:val="26A05C56"/>
    <w:rsid w:val="26A7680A"/>
    <w:rsid w:val="26AD329C"/>
    <w:rsid w:val="26B2270B"/>
    <w:rsid w:val="26B67E3F"/>
    <w:rsid w:val="26B93081"/>
    <w:rsid w:val="26EB4E1D"/>
    <w:rsid w:val="26FF2513"/>
    <w:rsid w:val="26FF5A08"/>
    <w:rsid w:val="27011163"/>
    <w:rsid w:val="271127A1"/>
    <w:rsid w:val="2737798E"/>
    <w:rsid w:val="273F8218"/>
    <w:rsid w:val="27516D91"/>
    <w:rsid w:val="27652D21"/>
    <w:rsid w:val="276F47C4"/>
    <w:rsid w:val="27915401"/>
    <w:rsid w:val="27931F98"/>
    <w:rsid w:val="27965DF0"/>
    <w:rsid w:val="27AE3022"/>
    <w:rsid w:val="27B125D5"/>
    <w:rsid w:val="27B76782"/>
    <w:rsid w:val="27F53F26"/>
    <w:rsid w:val="28202FCE"/>
    <w:rsid w:val="28221485"/>
    <w:rsid w:val="2826493B"/>
    <w:rsid w:val="284FB7CD"/>
    <w:rsid w:val="285B1956"/>
    <w:rsid w:val="285C498E"/>
    <w:rsid w:val="28823F1E"/>
    <w:rsid w:val="288D4CC2"/>
    <w:rsid w:val="288E5774"/>
    <w:rsid w:val="289E069A"/>
    <w:rsid w:val="28A94470"/>
    <w:rsid w:val="28AC622B"/>
    <w:rsid w:val="28B075BE"/>
    <w:rsid w:val="28BC1DE9"/>
    <w:rsid w:val="28D82F7E"/>
    <w:rsid w:val="28DC03DE"/>
    <w:rsid w:val="28EB3A97"/>
    <w:rsid w:val="28EF5563"/>
    <w:rsid w:val="28F858F5"/>
    <w:rsid w:val="290B640E"/>
    <w:rsid w:val="292D7DD5"/>
    <w:rsid w:val="293728A0"/>
    <w:rsid w:val="29405C7A"/>
    <w:rsid w:val="295142D9"/>
    <w:rsid w:val="2958061E"/>
    <w:rsid w:val="29653351"/>
    <w:rsid w:val="29675EF0"/>
    <w:rsid w:val="29836F76"/>
    <w:rsid w:val="29873207"/>
    <w:rsid w:val="29937051"/>
    <w:rsid w:val="29AF09E7"/>
    <w:rsid w:val="29BD1AEA"/>
    <w:rsid w:val="29C126A2"/>
    <w:rsid w:val="29C31412"/>
    <w:rsid w:val="29CC4DB4"/>
    <w:rsid w:val="29CFD1D5"/>
    <w:rsid w:val="29D44E2A"/>
    <w:rsid w:val="29E779D4"/>
    <w:rsid w:val="29FB38BD"/>
    <w:rsid w:val="2A3866D9"/>
    <w:rsid w:val="2A6F2205"/>
    <w:rsid w:val="2A952F61"/>
    <w:rsid w:val="2AAFB08D"/>
    <w:rsid w:val="2AD838B4"/>
    <w:rsid w:val="2AD8668E"/>
    <w:rsid w:val="2AFB07B3"/>
    <w:rsid w:val="2B1859F0"/>
    <w:rsid w:val="2B1F140B"/>
    <w:rsid w:val="2B280F93"/>
    <w:rsid w:val="2B3C61AC"/>
    <w:rsid w:val="2B3F59A9"/>
    <w:rsid w:val="2B51295E"/>
    <w:rsid w:val="2B642A3F"/>
    <w:rsid w:val="2B650FCD"/>
    <w:rsid w:val="2B863BF8"/>
    <w:rsid w:val="2B8B5E0F"/>
    <w:rsid w:val="2BB01839"/>
    <w:rsid w:val="2BB60EC3"/>
    <w:rsid w:val="2BC9008F"/>
    <w:rsid w:val="2BE14068"/>
    <w:rsid w:val="2BE3773E"/>
    <w:rsid w:val="2BEE5F73"/>
    <w:rsid w:val="2BEF4612"/>
    <w:rsid w:val="2BFF3DCC"/>
    <w:rsid w:val="2C006AE7"/>
    <w:rsid w:val="2C2568C8"/>
    <w:rsid w:val="2C395BA5"/>
    <w:rsid w:val="2C3D34D5"/>
    <w:rsid w:val="2C5540E6"/>
    <w:rsid w:val="2C6F313D"/>
    <w:rsid w:val="2C7E00A0"/>
    <w:rsid w:val="2C9D1056"/>
    <w:rsid w:val="2CE45DBD"/>
    <w:rsid w:val="2CF36669"/>
    <w:rsid w:val="2CF670D3"/>
    <w:rsid w:val="2D0265D3"/>
    <w:rsid w:val="2D075D96"/>
    <w:rsid w:val="2D281E31"/>
    <w:rsid w:val="2D397C4C"/>
    <w:rsid w:val="2D446AC7"/>
    <w:rsid w:val="2D4B78AC"/>
    <w:rsid w:val="2D5D0343"/>
    <w:rsid w:val="2D6C4DF0"/>
    <w:rsid w:val="2D795D39"/>
    <w:rsid w:val="2D7E3C87"/>
    <w:rsid w:val="2DA01E4F"/>
    <w:rsid w:val="2DA47739"/>
    <w:rsid w:val="2DD33392"/>
    <w:rsid w:val="2DDF2977"/>
    <w:rsid w:val="2DEA1202"/>
    <w:rsid w:val="2DF20AEF"/>
    <w:rsid w:val="2DFF98BB"/>
    <w:rsid w:val="2DFFCB8B"/>
    <w:rsid w:val="2E051F82"/>
    <w:rsid w:val="2E4329AA"/>
    <w:rsid w:val="2E604DAD"/>
    <w:rsid w:val="2E6C1280"/>
    <w:rsid w:val="2E816C11"/>
    <w:rsid w:val="2E933902"/>
    <w:rsid w:val="2EBE6F20"/>
    <w:rsid w:val="2EC279FB"/>
    <w:rsid w:val="2ECD7CAD"/>
    <w:rsid w:val="2ED536B1"/>
    <w:rsid w:val="2EDD342A"/>
    <w:rsid w:val="2EF129F8"/>
    <w:rsid w:val="2EFF01DE"/>
    <w:rsid w:val="2F152A23"/>
    <w:rsid w:val="2F23277F"/>
    <w:rsid w:val="2F2B3C56"/>
    <w:rsid w:val="2F4D3702"/>
    <w:rsid w:val="2F5A472F"/>
    <w:rsid w:val="2F5FD547"/>
    <w:rsid w:val="2F7412A9"/>
    <w:rsid w:val="2F780AB2"/>
    <w:rsid w:val="2F7A2ED4"/>
    <w:rsid w:val="2F7A3D01"/>
    <w:rsid w:val="2F985BB8"/>
    <w:rsid w:val="2FB35334"/>
    <w:rsid w:val="2FC93349"/>
    <w:rsid w:val="2FF5BA3D"/>
    <w:rsid w:val="300E4218"/>
    <w:rsid w:val="30102B6E"/>
    <w:rsid w:val="302C20AA"/>
    <w:rsid w:val="30566A7B"/>
    <w:rsid w:val="305C0857"/>
    <w:rsid w:val="307B62CE"/>
    <w:rsid w:val="30853026"/>
    <w:rsid w:val="30881314"/>
    <w:rsid w:val="30886E22"/>
    <w:rsid w:val="30A31183"/>
    <w:rsid w:val="30B80747"/>
    <w:rsid w:val="30C068F2"/>
    <w:rsid w:val="30E30271"/>
    <w:rsid w:val="30E65C36"/>
    <w:rsid w:val="30E83650"/>
    <w:rsid w:val="30FC3F6A"/>
    <w:rsid w:val="31273325"/>
    <w:rsid w:val="313C0D86"/>
    <w:rsid w:val="31407E48"/>
    <w:rsid w:val="31615B70"/>
    <w:rsid w:val="31856ECC"/>
    <w:rsid w:val="31CA6F4F"/>
    <w:rsid w:val="31F5B149"/>
    <w:rsid w:val="320C02CE"/>
    <w:rsid w:val="321E5346"/>
    <w:rsid w:val="32255EBA"/>
    <w:rsid w:val="322D18A1"/>
    <w:rsid w:val="323825DD"/>
    <w:rsid w:val="32402C11"/>
    <w:rsid w:val="3258119C"/>
    <w:rsid w:val="325E6A21"/>
    <w:rsid w:val="326F36A6"/>
    <w:rsid w:val="326F76CF"/>
    <w:rsid w:val="32815E15"/>
    <w:rsid w:val="329D4E6D"/>
    <w:rsid w:val="32A11937"/>
    <w:rsid w:val="32A82519"/>
    <w:rsid w:val="32AA51D2"/>
    <w:rsid w:val="32B37F2E"/>
    <w:rsid w:val="32C7267A"/>
    <w:rsid w:val="32CB3652"/>
    <w:rsid w:val="32CB4565"/>
    <w:rsid w:val="32D91ACB"/>
    <w:rsid w:val="32DE5AF0"/>
    <w:rsid w:val="32E227D9"/>
    <w:rsid w:val="33080D5E"/>
    <w:rsid w:val="33351123"/>
    <w:rsid w:val="333B07E1"/>
    <w:rsid w:val="333B18DB"/>
    <w:rsid w:val="334028EB"/>
    <w:rsid w:val="335000AD"/>
    <w:rsid w:val="3359184A"/>
    <w:rsid w:val="33663C91"/>
    <w:rsid w:val="336D6E7C"/>
    <w:rsid w:val="33717AE2"/>
    <w:rsid w:val="33C807CE"/>
    <w:rsid w:val="33C90F45"/>
    <w:rsid w:val="33CA0034"/>
    <w:rsid w:val="33F8521B"/>
    <w:rsid w:val="343C69FD"/>
    <w:rsid w:val="34484EC5"/>
    <w:rsid w:val="34583C03"/>
    <w:rsid w:val="345A6A18"/>
    <w:rsid w:val="346C3D78"/>
    <w:rsid w:val="346D6090"/>
    <w:rsid w:val="34792FFF"/>
    <w:rsid w:val="347E2E8E"/>
    <w:rsid w:val="348F73AD"/>
    <w:rsid w:val="34933CBE"/>
    <w:rsid w:val="34967D07"/>
    <w:rsid w:val="34BB131C"/>
    <w:rsid w:val="34CA5336"/>
    <w:rsid w:val="34D10B40"/>
    <w:rsid w:val="34DD24FD"/>
    <w:rsid w:val="34ED7240"/>
    <w:rsid w:val="34FC7E65"/>
    <w:rsid w:val="35136925"/>
    <w:rsid w:val="355377A7"/>
    <w:rsid w:val="355F7BB3"/>
    <w:rsid w:val="35616470"/>
    <w:rsid w:val="35635B24"/>
    <w:rsid w:val="35714000"/>
    <w:rsid w:val="35946631"/>
    <w:rsid w:val="359A3911"/>
    <w:rsid w:val="35A00268"/>
    <w:rsid w:val="35A023A7"/>
    <w:rsid w:val="35A63FBA"/>
    <w:rsid w:val="35AC4CAB"/>
    <w:rsid w:val="35C16E06"/>
    <w:rsid w:val="35D96D8A"/>
    <w:rsid w:val="35EA0B0A"/>
    <w:rsid w:val="35F1067B"/>
    <w:rsid w:val="360A255B"/>
    <w:rsid w:val="361B22E7"/>
    <w:rsid w:val="363218F8"/>
    <w:rsid w:val="363D610B"/>
    <w:rsid w:val="366854D4"/>
    <w:rsid w:val="36797CA0"/>
    <w:rsid w:val="368C21D4"/>
    <w:rsid w:val="36B0140A"/>
    <w:rsid w:val="36B73ED0"/>
    <w:rsid w:val="36CE006C"/>
    <w:rsid w:val="36E27034"/>
    <w:rsid w:val="37021EA4"/>
    <w:rsid w:val="37032E49"/>
    <w:rsid w:val="373C0908"/>
    <w:rsid w:val="3754317B"/>
    <w:rsid w:val="376343E3"/>
    <w:rsid w:val="377D687A"/>
    <w:rsid w:val="37853477"/>
    <w:rsid w:val="37D1096C"/>
    <w:rsid w:val="37D116D4"/>
    <w:rsid w:val="37D72F30"/>
    <w:rsid w:val="37E70202"/>
    <w:rsid w:val="37F4771F"/>
    <w:rsid w:val="37FF13FE"/>
    <w:rsid w:val="380A00FA"/>
    <w:rsid w:val="381B5A9D"/>
    <w:rsid w:val="3834429E"/>
    <w:rsid w:val="38765B93"/>
    <w:rsid w:val="38AA05FF"/>
    <w:rsid w:val="38B75852"/>
    <w:rsid w:val="38BB4CC1"/>
    <w:rsid w:val="38E00D4B"/>
    <w:rsid w:val="38EF1104"/>
    <w:rsid w:val="38FA4CEB"/>
    <w:rsid w:val="39162016"/>
    <w:rsid w:val="391D7DB8"/>
    <w:rsid w:val="392C6A16"/>
    <w:rsid w:val="39390E32"/>
    <w:rsid w:val="394C2E8B"/>
    <w:rsid w:val="394E551E"/>
    <w:rsid w:val="395062A7"/>
    <w:rsid w:val="39653BBE"/>
    <w:rsid w:val="397E30A1"/>
    <w:rsid w:val="3981263C"/>
    <w:rsid w:val="39957E5A"/>
    <w:rsid w:val="39BD417A"/>
    <w:rsid w:val="39D2618B"/>
    <w:rsid w:val="39DC7A5C"/>
    <w:rsid w:val="39F01D9F"/>
    <w:rsid w:val="39F7C825"/>
    <w:rsid w:val="3A062B94"/>
    <w:rsid w:val="3A146E69"/>
    <w:rsid w:val="3A184B1B"/>
    <w:rsid w:val="3A1F6904"/>
    <w:rsid w:val="3A2A1C9A"/>
    <w:rsid w:val="3A30015A"/>
    <w:rsid w:val="3A5913BB"/>
    <w:rsid w:val="3A6C716A"/>
    <w:rsid w:val="3A7611A4"/>
    <w:rsid w:val="3A7E7084"/>
    <w:rsid w:val="3A992A45"/>
    <w:rsid w:val="3A9A0868"/>
    <w:rsid w:val="3A9E541F"/>
    <w:rsid w:val="3AB9DF68"/>
    <w:rsid w:val="3AE27DF3"/>
    <w:rsid w:val="3AF84629"/>
    <w:rsid w:val="3AF905D2"/>
    <w:rsid w:val="3B0F2EF8"/>
    <w:rsid w:val="3B142964"/>
    <w:rsid w:val="3B1F6356"/>
    <w:rsid w:val="3B3636FF"/>
    <w:rsid w:val="3B45403E"/>
    <w:rsid w:val="3B5D6FA5"/>
    <w:rsid w:val="3B7E5B87"/>
    <w:rsid w:val="3B7FDC73"/>
    <w:rsid w:val="3B8B1440"/>
    <w:rsid w:val="3BBBFB3C"/>
    <w:rsid w:val="3BCA6819"/>
    <w:rsid w:val="3BD51F7B"/>
    <w:rsid w:val="3BE512AD"/>
    <w:rsid w:val="3BEE5E77"/>
    <w:rsid w:val="3BF3033E"/>
    <w:rsid w:val="3BFE78F4"/>
    <w:rsid w:val="3C001E0A"/>
    <w:rsid w:val="3C153CA2"/>
    <w:rsid w:val="3C3C6A5E"/>
    <w:rsid w:val="3C4861F6"/>
    <w:rsid w:val="3C4F11CB"/>
    <w:rsid w:val="3C6E3551"/>
    <w:rsid w:val="3C8E44D5"/>
    <w:rsid w:val="3C907375"/>
    <w:rsid w:val="3C955C0D"/>
    <w:rsid w:val="3C9D54A1"/>
    <w:rsid w:val="3CB7777E"/>
    <w:rsid w:val="3CBD7CCD"/>
    <w:rsid w:val="3CCA72F1"/>
    <w:rsid w:val="3CCF0A8C"/>
    <w:rsid w:val="3CE010C1"/>
    <w:rsid w:val="3CE66F9E"/>
    <w:rsid w:val="3CEE6B23"/>
    <w:rsid w:val="3CF05EED"/>
    <w:rsid w:val="3CF073E6"/>
    <w:rsid w:val="3CFBEA4B"/>
    <w:rsid w:val="3D0A20B5"/>
    <w:rsid w:val="3D1926B0"/>
    <w:rsid w:val="3D194F4B"/>
    <w:rsid w:val="3D357512"/>
    <w:rsid w:val="3D3F48F6"/>
    <w:rsid w:val="3D646E47"/>
    <w:rsid w:val="3D6F2441"/>
    <w:rsid w:val="3D714F53"/>
    <w:rsid w:val="3D7B5414"/>
    <w:rsid w:val="3D8A22E5"/>
    <w:rsid w:val="3D8A3FBE"/>
    <w:rsid w:val="3D9956F7"/>
    <w:rsid w:val="3DA56F2A"/>
    <w:rsid w:val="3DE651B5"/>
    <w:rsid w:val="3DFD2F85"/>
    <w:rsid w:val="3E0C4398"/>
    <w:rsid w:val="3E0E56E5"/>
    <w:rsid w:val="3E14557F"/>
    <w:rsid w:val="3E1D0952"/>
    <w:rsid w:val="3E3775C4"/>
    <w:rsid w:val="3E4565FD"/>
    <w:rsid w:val="3E9714F9"/>
    <w:rsid w:val="3EC978CF"/>
    <w:rsid w:val="3ECE5DE9"/>
    <w:rsid w:val="3EDFDACA"/>
    <w:rsid w:val="3EEB0FC1"/>
    <w:rsid w:val="3EEBA123"/>
    <w:rsid w:val="3EF3125F"/>
    <w:rsid w:val="3EFF0706"/>
    <w:rsid w:val="3F0C727A"/>
    <w:rsid w:val="3F1B1707"/>
    <w:rsid w:val="3F1FDE8A"/>
    <w:rsid w:val="3F270B2F"/>
    <w:rsid w:val="3F301EA6"/>
    <w:rsid w:val="3F3050DF"/>
    <w:rsid w:val="3F3D8CAB"/>
    <w:rsid w:val="3F3FA850"/>
    <w:rsid w:val="3F3FE3F6"/>
    <w:rsid w:val="3F44519E"/>
    <w:rsid w:val="3F5913DC"/>
    <w:rsid w:val="3F6C4FBD"/>
    <w:rsid w:val="3F932207"/>
    <w:rsid w:val="3F937DE8"/>
    <w:rsid w:val="3F9E57FE"/>
    <w:rsid w:val="3FA072F5"/>
    <w:rsid w:val="3FBFE3EE"/>
    <w:rsid w:val="3FC14EF2"/>
    <w:rsid w:val="3FC2169B"/>
    <w:rsid w:val="3FCFBF50"/>
    <w:rsid w:val="3FD7093F"/>
    <w:rsid w:val="3FEE7597"/>
    <w:rsid w:val="3FFBC61B"/>
    <w:rsid w:val="400060CE"/>
    <w:rsid w:val="401563C2"/>
    <w:rsid w:val="40376BAC"/>
    <w:rsid w:val="40453892"/>
    <w:rsid w:val="40471C80"/>
    <w:rsid w:val="40643143"/>
    <w:rsid w:val="407F1E62"/>
    <w:rsid w:val="40954FF4"/>
    <w:rsid w:val="409D5514"/>
    <w:rsid w:val="40A202A0"/>
    <w:rsid w:val="40AA4C70"/>
    <w:rsid w:val="40AD06B3"/>
    <w:rsid w:val="40CA5B75"/>
    <w:rsid w:val="40E54486"/>
    <w:rsid w:val="411142FB"/>
    <w:rsid w:val="41325F04"/>
    <w:rsid w:val="41543EB0"/>
    <w:rsid w:val="4162610B"/>
    <w:rsid w:val="416E02F1"/>
    <w:rsid w:val="416F2A2F"/>
    <w:rsid w:val="417D2480"/>
    <w:rsid w:val="41B15010"/>
    <w:rsid w:val="41B917FB"/>
    <w:rsid w:val="41BB57DA"/>
    <w:rsid w:val="41C1370B"/>
    <w:rsid w:val="41C9161A"/>
    <w:rsid w:val="41CF2ADC"/>
    <w:rsid w:val="41E2613A"/>
    <w:rsid w:val="41F77CE6"/>
    <w:rsid w:val="41F8184D"/>
    <w:rsid w:val="42081788"/>
    <w:rsid w:val="42293D83"/>
    <w:rsid w:val="424E4D56"/>
    <w:rsid w:val="424F7184"/>
    <w:rsid w:val="42507406"/>
    <w:rsid w:val="42591393"/>
    <w:rsid w:val="42607CC3"/>
    <w:rsid w:val="42676BBA"/>
    <w:rsid w:val="4268251E"/>
    <w:rsid w:val="426C758D"/>
    <w:rsid w:val="426E643E"/>
    <w:rsid w:val="428B574A"/>
    <w:rsid w:val="42924546"/>
    <w:rsid w:val="42B61B69"/>
    <w:rsid w:val="42B81A6C"/>
    <w:rsid w:val="42D61A99"/>
    <w:rsid w:val="42E370C2"/>
    <w:rsid w:val="42E72CD4"/>
    <w:rsid w:val="432367DF"/>
    <w:rsid w:val="432446AB"/>
    <w:rsid w:val="43370F53"/>
    <w:rsid w:val="433D1DA0"/>
    <w:rsid w:val="4342254C"/>
    <w:rsid w:val="43677A21"/>
    <w:rsid w:val="437A6E9D"/>
    <w:rsid w:val="43934099"/>
    <w:rsid w:val="43973DF4"/>
    <w:rsid w:val="439FB944"/>
    <w:rsid w:val="43A37E1F"/>
    <w:rsid w:val="43AF03F6"/>
    <w:rsid w:val="43C20BB6"/>
    <w:rsid w:val="43CB5249"/>
    <w:rsid w:val="43E37974"/>
    <w:rsid w:val="44054227"/>
    <w:rsid w:val="440D6621"/>
    <w:rsid w:val="441205DB"/>
    <w:rsid w:val="441E2591"/>
    <w:rsid w:val="441F71D0"/>
    <w:rsid w:val="443B42F8"/>
    <w:rsid w:val="444A1E9C"/>
    <w:rsid w:val="444E49C6"/>
    <w:rsid w:val="44604BFB"/>
    <w:rsid w:val="44757F5F"/>
    <w:rsid w:val="448A299B"/>
    <w:rsid w:val="44A725C3"/>
    <w:rsid w:val="44A771C7"/>
    <w:rsid w:val="44A92DCE"/>
    <w:rsid w:val="44AD522F"/>
    <w:rsid w:val="44B0213F"/>
    <w:rsid w:val="44C70D28"/>
    <w:rsid w:val="44D668EB"/>
    <w:rsid w:val="44F51A16"/>
    <w:rsid w:val="44FD0B8E"/>
    <w:rsid w:val="450C5857"/>
    <w:rsid w:val="451C4635"/>
    <w:rsid w:val="452A22D2"/>
    <w:rsid w:val="455A3BF0"/>
    <w:rsid w:val="45997458"/>
    <w:rsid w:val="45A34651"/>
    <w:rsid w:val="45BD6F3F"/>
    <w:rsid w:val="46151C09"/>
    <w:rsid w:val="461B1594"/>
    <w:rsid w:val="46374870"/>
    <w:rsid w:val="46421E3E"/>
    <w:rsid w:val="464E5DF8"/>
    <w:rsid w:val="465C2B7B"/>
    <w:rsid w:val="46600699"/>
    <w:rsid w:val="46773569"/>
    <w:rsid w:val="467F5D65"/>
    <w:rsid w:val="46856075"/>
    <w:rsid w:val="46985A33"/>
    <w:rsid w:val="469B35F6"/>
    <w:rsid w:val="46A87496"/>
    <w:rsid w:val="46AA1E59"/>
    <w:rsid w:val="46AC0522"/>
    <w:rsid w:val="46DA3884"/>
    <w:rsid w:val="46DF2CE6"/>
    <w:rsid w:val="46EF197F"/>
    <w:rsid w:val="46FB1DBC"/>
    <w:rsid w:val="472A13D2"/>
    <w:rsid w:val="473B3BEA"/>
    <w:rsid w:val="477F3710"/>
    <w:rsid w:val="4787691A"/>
    <w:rsid w:val="47BFD68B"/>
    <w:rsid w:val="47C54E8E"/>
    <w:rsid w:val="47EC1AC1"/>
    <w:rsid w:val="47EF0530"/>
    <w:rsid w:val="47EF15B1"/>
    <w:rsid w:val="47F44E24"/>
    <w:rsid w:val="47FF2F96"/>
    <w:rsid w:val="47FF31A5"/>
    <w:rsid w:val="48005341"/>
    <w:rsid w:val="480D2EE5"/>
    <w:rsid w:val="482573EB"/>
    <w:rsid w:val="48287A01"/>
    <w:rsid w:val="482A3149"/>
    <w:rsid w:val="48305AAC"/>
    <w:rsid w:val="483F5D48"/>
    <w:rsid w:val="48463503"/>
    <w:rsid w:val="484F2A68"/>
    <w:rsid w:val="48531F4C"/>
    <w:rsid w:val="485E1AE5"/>
    <w:rsid w:val="48625DE7"/>
    <w:rsid w:val="48645AFB"/>
    <w:rsid w:val="487F0532"/>
    <w:rsid w:val="4883458D"/>
    <w:rsid w:val="48C4659A"/>
    <w:rsid w:val="48D676F2"/>
    <w:rsid w:val="48E575E8"/>
    <w:rsid w:val="48EF73EA"/>
    <w:rsid w:val="490329B3"/>
    <w:rsid w:val="490C46B1"/>
    <w:rsid w:val="49196BD9"/>
    <w:rsid w:val="492222F8"/>
    <w:rsid w:val="49295994"/>
    <w:rsid w:val="493E309A"/>
    <w:rsid w:val="4944338E"/>
    <w:rsid w:val="49443F67"/>
    <w:rsid w:val="49591134"/>
    <w:rsid w:val="49677A88"/>
    <w:rsid w:val="496B7101"/>
    <w:rsid w:val="4977360C"/>
    <w:rsid w:val="497E2DC5"/>
    <w:rsid w:val="499D10E1"/>
    <w:rsid w:val="49B86781"/>
    <w:rsid w:val="49CD0074"/>
    <w:rsid w:val="49D12DBB"/>
    <w:rsid w:val="49D54A18"/>
    <w:rsid w:val="49DB46BE"/>
    <w:rsid w:val="49E46EA6"/>
    <w:rsid w:val="49FB4FB3"/>
    <w:rsid w:val="4A033B7D"/>
    <w:rsid w:val="4A0F32E7"/>
    <w:rsid w:val="4A1E34CC"/>
    <w:rsid w:val="4A221AB4"/>
    <w:rsid w:val="4A224BA5"/>
    <w:rsid w:val="4A2B42BD"/>
    <w:rsid w:val="4A330774"/>
    <w:rsid w:val="4A5C030F"/>
    <w:rsid w:val="4A660B78"/>
    <w:rsid w:val="4A75754C"/>
    <w:rsid w:val="4A875860"/>
    <w:rsid w:val="4AA8165B"/>
    <w:rsid w:val="4AA86352"/>
    <w:rsid w:val="4AB76A5B"/>
    <w:rsid w:val="4AE260AF"/>
    <w:rsid w:val="4AEE69B2"/>
    <w:rsid w:val="4B2826F8"/>
    <w:rsid w:val="4B400C82"/>
    <w:rsid w:val="4B464F2E"/>
    <w:rsid w:val="4B6C7A17"/>
    <w:rsid w:val="4B6D2589"/>
    <w:rsid w:val="4B8452E8"/>
    <w:rsid w:val="4B924B09"/>
    <w:rsid w:val="4BA74DFA"/>
    <w:rsid w:val="4BAC27DD"/>
    <w:rsid w:val="4BB04FAA"/>
    <w:rsid w:val="4BB1377A"/>
    <w:rsid w:val="4BB70FD2"/>
    <w:rsid w:val="4BBE0E50"/>
    <w:rsid w:val="4BC11CB7"/>
    <w:rsid w:val="4BC352D8"/>
    <w:rsid w:val="4BCA26AA"/>
    <w:rsid w:val="4BCE03ED"/>
    <w:rsid w:val="4BFB285F"/>
    <w:rsid w:val="4C003135"/>
    <w:rsid w:val="4C013913"/>
    <w:rsid w:val="4C1646FF"/>
    <w:rsid w:val="4C226976"/>
    <w:rsid w:val="4C255D6C"/>
    <w:rsid w:val="4C287C58"/>
    <w:rsid w:val="4C40671A"/>
    <w:rsid w:val="4C496C68"/>
    <w:rsid w:val="4C4B70BB"/>
    <w:rsid w:val="4C4D6E4D"/>
    <w:rsid w:val="4C61521F"/>
    <w:rsid w:val="4C792F14"/>
    <w:rsid w:val="4C7E7582"/>
    <w:rsid w:val="4C8510EE"/>
    <w:rsid w:val="4C902C55"/>
    <w:rsid w:val="4CA43A25"/>
    <w:rsid w:val="4CA8501B"/>
    <w:rsid w:val="4CBC54B9"/>
    <w:rsid w:val="4D1C2DC8"/>
    <w:rsid w:val="4D452356"/>
    <w:rsid w:val="4D453A21"/>
    <w:rsid w:val="4D530ADD"/>
    <w:rsid w:val="4D5A1E5F"/>
    <w:rsid w:val="4D6B5CF7"/>
    <w:rsid w:val="4D770AF6"/>
    <w:rsid w:val="4D9D4D15"/>
    <w:rsid w:val="4DA54B5C"/>
    <w:rsid w:val="4DAE0631"/>
    <w:rsid w:val="4DBC5634"/>
    <w:rsid w:val="4DE26521"/>
    <w:rsid w:val="4DEC5BD3"/>
    <w:rsid w:val="4DFA408F"/>
    <w:rsid w:val="4E07374B"/>
    <w:rsid w:val="4E0F76A0"/>
    <w:rsid w:val="4E14369E"/>
    <w:rsid w:val="4E5C069D"/>
    <w:rsid w:val="4E5D460E"/>
    <w:rsid w:val="4E633A13"/>
    <w:rsid w:val="4E7D3BF0"/>
    <w:rsid w:val="4E95754C"/>
    <w:rsid w:val="4E9B3918"/>
    <w:rsid w:val="4EB75363"/>
    <w:rsid w:val="4F0922E0"/>
    <w:rsid w:val="4F0E74E4"/>
    <w:rsid w:val="4F112C00"/>
    <w:rsid w:val="4F220E71"/>
    <w:rsid w:val="4F2C0927"/>
    <w:rsid w:val="4F483C6B"/>
    <w:rsid w:val="4F53601C"/>
    <w:rsid w:val="4F5A5138"/>
    <w:rsid w:val="4F6E0088"/>
    <w:rsid w:val="4F73375E"/>
    <w:rsid w:val="4F770A64"/>
    <w:rsid w:val="4F8E3C09"/>
    <w:rsid w:val="4F9A23CE"/>
    <w:rsid w:val="4FAA26BF"/>
    <w:rsid w:val="4FD004E9"/>
    <w:rsid w:val="4FD275EC"/>
    <w:rsid w:val="4FD5298E"/>
    <w:rsid w:val="4FDC66EE"/>
    <w:rsid w:val="4FEF7931"/>
    <w:rsid w:val="4FF550BD"/>
    <w:rsid w:val="4FF7CA50"/>
    <w:rsid w:val="50016325"/>
    <w:rsid w:val="50054535"/>
    <w:rsid w:val="500D6DA7"/>
    <w:rsid w:val="50172EE0"/>
    <w:rsid w:val="501C772A"/>
    <w:rsid w:val="50202B9E"/>
    <w:rsid w:val="50265CE3"/>
    <w:rsid w:val="50355BA0"/>
    <w:rsid w:val="503E5CD4"/>
    <w:rsid w:val="5051105B"/>
    <w:rsid w:val="505DC98D"/>
    <w:rsid w:val="506C7C75"/>
    <w:rsid w:val="50722108"/>
    <w:rsid w:val="5072457C"/>
    <w:rsid w:val="50795EBC"/>
    <w:rsid w:val="507A0357"/>
    <w:rsid w:val="50A3066C"/>
    <w:rsid w:val="50B83683"/>
    <w:rsid w:val="50BE4935"/>
    <w:rsid w:val="50E00779"/>
    <w:rsid w:val="50EC5299"/>
    <w:rsid w:val="50EE444E"/>
    <w:rsid w:val="51041D7B"/>
    <w:rsid w:val="510F3A86"/>
    <w:rsid w:val="51135712"/>
    <w:rsid w:val="51390CEF"/>
    <w:rsid w:val="51440262"/>
    <w:rsid w:val="51452B0B"/>
    <w:rsid w:val="518834D3"/>
    <w:rsid w:val="51A90E98"/>
    <w:rsid w:val="51AB7117"/>
    <w:rsid w:val="51BD3E49"/>
    <w:rsid w:val="51C904BB"/>
    <w:rsid w:val="51DB3C45"/>
    <w:rsid w:val="520C4DC4"/>
    <w:rsid w:val="52337800"/>
    <w:rsid w:val="52434F2D"/>
    <w:rsid w:val="5245168D"/>
    <w:rsid w:val="525F2C65"/>
    <w:rsid w:val="525F5A7D"/>
    <w:rsid w:val="527B5C87"/>
    <w:rsid w:val="5286531C"/>
    <w:rsid w:val="5298193C"/>
    <w:rsid w:val="52A149B9"/>
    <w:rsid w:val="52C33865"/>
    <w:rsid w:val="52DA0BF6"/>
    <w:rsid w:val="52EB1AE4"/>
    <w:rsid w:val="52FF511D"/>
    <w:rsid w:val="530128AB"/>
    <w:rsid w:val="5306085A"/>
    <w:rsid w:val="531E5443"/>
    <w:rsid w:val="53211D72"/>
    <w:rsid w:val="53245F89"/>
    <w:rsid w:val="53303CB8"/>
    <w:rsid w:val="533C6DEA"/>
    <w:rsid w:val="533D2F2C"/>
    <w:rsid w:val="534327B1"/>
    <w:rsid w:val="536C3CD4"/>
    <w:rsid w:val="53BD65FC"/>
    <w:rsid w:val="53DF5C39"/>
    <w:rsid w:val="54340CAF"/>
    <w:rsid w:val="54363813"/>
    <w:rsid w:val="545568EB"/>
    <w:rsid w:val="546471EA"/>
    <w:rsid w:val="54695C80"/>
    <w:rsid w:val="546F571F"/>
    <w:rsid w:val="547F75A4"/>
    <w:rsid w:val="54881577"/>
    <w:rsid w:val="549E77D2"/>
    <w:rsid w:val="54B576DE"/>
    <w:rsid w:val="54B57839"/>
    <w:rsid w:val="54BD5658"/>
    <w:rsid w:val="54C0627B"/>
    <w:rsid w:val="54E10371"/>
    <w:rsid w:val="54E104D3"/>
    <w:rsid w:val="54F05B0B"/>
    <w:rsid w:val="55013843"/>
    <w:rsid w:val="551F5525"/>
    <w:rsid w:val="553C28FF"/>
    <w:rsid w:val="5544408B"/>
    <w:rsid w:val="556B7BB5"/>
    <w:rsid w:val="55806ED8"/>
    <w:rsid w:val="5595273D"/>
    <w:rsid w:val="559F4667"/>
    <w:rsid w:val="55A14DCF"/>
    <w:rsid w:val="55A27FF4"/>
    <w:rsid w:val="55AA5A00"/>
    <w:rsid w:val="55FD2714"/>
    <w:rsid w:val="561B749F"/>
    <w:rsid w:val="562719E3"/>
    <w:rsid w:val="562B1FCE"/>
    <w:rsid w:val="562B66CB"/>
    <w:rsid w:val="56446D80"/>
    <w:rsid w:val="56626308"/>
    <w:rsid w:val="56682639"/>
    <w:rsid w:val="568F1E8F"/>
    <w:rsid w:val="56A42D11"/>
    <w:rsid w:val="56B363CB"/>
    <w:rsid w:val="56BA629E"/>
    <w:rsid w:val="56C027B9"/>
    <w:rsid w:val="56C51151"/>
    <w:rsid w:val="56D0014A"/>
    <w:rsid w:val="56E13C71"/>
    <w:rsid w:val="56EB3FA6"/>
    <w:rsid w:val="57044630"/>
    <w:rsid w:val="572D40C6"/>
    <w:rsid w:val="57301F70"/>
    <w:rsid w:val="573763E4"/>
    <w:rsid w:val="577BCC66"/>
    <w:rsid w:val="578616C7"/>
    <w:rsid w:val="578C274B"/>
    <w:rsid w:val="579C2E51"/>
    <w:rsid w:val="57AA5DA7"/>
    <w:rsid w:val="57B73179"/>
    <w:rsid w:val="57BA773A"/>
    <w:rsid w:val="57C931E5"/>
    <w:rsid w:val="57D4618D"/>
    <w:rsid w:val="57F05EC3"/>
    <w:rsid w:val="57FDFF84"/>
    <w:rsid w:val="58137757"/>
    <w:rsid w:val="58211D7C"/>
    <w:rsid w:val="58647913"/>
    <w:rsid w:val="586C74C7"/>
    <w:rsid w:val="587031FB"/>
    <w:rsid w:val="58731303"/>
    <w:rsid w:val="587F7544"/>
    <w:rsid w:val="5882581D"/>
    <w:rsid w:val="588A274D"/>
    <w:rsid w:val="58BD5526"/>
    <w:rsid w:val="58C170CF"/>
    <w:rsid w:val="58CE1005"/>
    <w:rsid w:val="58D170FA"/>
    <w:rsid w:val="58DF3D9A"/>
    <w:rsid w:val="58E14F46"/>
    <w:rsid w:val="59140A5F"/>
    <w:rsid w:val="5925167D"/>
    <w:rsid w:val="594851A3"/>
    <w:rsid w:val="596033E7"/>
    <w:rsid w:val="596A0527"/>
    <w:rsid w:val="598307B6"/>
    <w:rsid w:val="59A36680"/>
    <w:rsid w:val="59AC331C"/>
    <w:rsid w:val="59AD15AB"/>
    <w:rsid w:val="59C23984"/>
    <w:rsid w:val="59D7179A"/>
    <w:rsid w:val="59EE111B"/>
    <w:rsid w:val="59F46672"/>
    <w:rsid w:val="5A0607CB"/>
    <w:rsid w:val="5A0751DF"/>
    <w:rsid w:val="5A08558A"/>
    <w:rsid w:val="5A172293"/>
    <w:rsid w:val="5A345C0E"/>
    <w:rsid w:val="5A36690C"/>
    <w:rsid w:val="5A494757"/>
    <w:rsid w:val="5A494B51"/>
    <w:rsid w:val="5A495074"/>
    <w:rsid w:val="5A6050DA"/>
    <w:rsid w:val="5A641F5A"/>
    <w:rsid w:val="5A6C3F68"/>
    <w:rsid w:val="5A721648"/>
    <w:rsid w:val="5A78530D"/>
    <w:rsid w:val="5A8DF71C"/>
    <w:rsid w:val="5A9364AA"/>
    <w:rsid w:val="5A975A33"/>
    <w:rsid w:val="5A9E094C"/>
    <w:rsid w:val="5A9E73DC"/>
    <w:rsid w:val="5AA42DE8"/>
    <w:rsid w:val="5AA615B2"/>
    <w:rsid w:val="5ABF316B"/>
    <w:rsid w:val="5ACE9BA4"/>
    <w:rsid w:val="5ACF0409"/>
    <w:rsid w:val="5AD7756A"/>
    <w:rsid w:val="5B073095"/>
    <w:rsid w:val="5B405B84"/>
    <w:rsid w:val="5B531B57"/>
    <w:rsid w:val="5B65364C"/>
    <w:rsid w:val="5B66D02D"/>
    <w:rsid w:val="5B7261F7"/>
    <w:rsid w:val="5B83645F"/>
    <w:rsid w:val="5B8E7542"/>
    <w:rsid w:val="5B9C526A"/>
    <w:rsid w:val="5BA755AE"/>
    <w:rsid w:val="5BB25FE9"/>
    <w:rsid w:val="5BB6268A"/>
    <w:rsid w:val="5BC64B0C"/>
    <w:rsid w:val="5BF131EC"/>
    <w:rsid w:val="5BF62668"/>
    <w:rsid w:val="5BFBE588"/>
    <w:rsid w:val="5BFE48C0"/>
    <w:rsid w:val="5BFF5E87"/>
    <w:rsid w:val="5C1E1AFA"/>
    <w:rsid w:val="5C2B4EFB"/>
    <w:rsid w:val="5C5044CE"/>
    <w:rsid w:val="5C534688"/>
    <w:rsid w:val="5C570E48"/>
    <w:rsid w:val="5C6376C4"/>
    <w:rsid w:val="5C683FC9"/>
    <w:rsid w:val="5C6E5495"/>
    <w:rsid w:val="5C775F55"/>
    <w:rsid w:val="5C7D380C"/>
    <w:rsid w:val="5CA00B43"/>
    <w:rsid w:val="5CBD41C9"/>
    <w:rsid w:val="5CC82248"/>
    <w:rsid w:val="5CCB555B"/>
    <w:rsid w:val="5CE2002D"/>
    <w:rsid w:val="5CE989BB"/>
    <w:rsid w:val="5CF76FE4"/>
    <w:rsid w:val="5D032927"/>
    <w:rsid w:val="5D050F60"/>
    <w:rsid w:val="5D226E26"/>
    <w:rsid w:val="5D2B6741"/>
    <w:rsid w:val="5D374294"/>
    <w:rsid w:val="5D3C25A7"/>
    <w:rsid w:val="5D4D6706"/>
    <w:rsid w:val="5D655DA2"/>
    <w:rsid w:val="5D8461BB"/>
    <w:rsid w:val="5DA91DAF"/>
    <w:rsid w:val="5DBEE6EB"/>
    <w:rsid w:val="5DD72E67"/>
    <w:rsid w:val="5DDA1A89"/>
    <w:rsid w:val="5DE00481"/>
    <w:rsid w:val="5DF32230"/>
    <w:rsid w:val="5DF52C1C"/>
    <w:rsid w:val="5E0E7746"/>
    <w:rsid w:val="5E117E2C"/>
    <w:rsid w:val="5E266FD1"/>
    <w:rsid w:val="5E6231C2"/>
    <w:rsid w:val="5E77ADF7"/>
    <w:rsid w:val="5E7F4C05"/>
    <w:rsid w:val="5E955599"/>
    <w:rsid w:val="5EA740E5"/>
    <w:rsid w:val="5EBFA3DA"/>
    <w:rsid w:val="5EE6549D"/>
    <w:rsid w:val="5EE74719"/>
    <w:rsid w:val="5EE7693D"/>
    <w:rsid w:val="5EFC3E26"/>
    <w:rsid w:val="5F09110B"/>
    <w:rsid w:val="5F0C6534"/>
    <w:rsid w:val="5F1B13C2"/>
    <w:rsid w:val="5F206837"/>
    <w:rsid w:val="5F296D83"/>
    <w:rsid w:val="5F2F9A9B"/>
    <w:rsid w:val="5F324FDB"/>
    <w:rsid w:val="5F336443"/>
    <w:rsid w:val="5F3A587A"/>
    <w:rsid w:val="5F582E89"/>
    <w:rsid w:val="5F5F66B6"/>
    <w:rsid w:val="5F769B47"/>
    <w:rsid w:val="5F7D1182"/>
    <w:rsid w:val="5F945056"/>
    <w:rsid w:val="5F9F557C"/>
    <w:rsid w:val="5F9FC317"/>
    <w:rsid w:val="5FA7FD1B"/>
    <w:rsid w:val="5FAE4F8E"/>
    <w:rsid w:val="5FAF515E"/>
    <w:rsid w:val="5FB96CD8"/>
    <w:rsid w:val="5FBE99C9"/>
    <w:rsid w:val="5FC20F1C"/>
    <w:rsid w:val="5FC820A7"/>
    <w:rsid w:val="5FDC2DC5"/>
    <w:rsid w:val="5FDF7053"/>
    <w:rsid w:val="5FEBF02D"/>
    <w:rsid w:val="5FEF619A"/>
    <w:rsid w:val="601042AB"/>
    <w:rsid w:val="6038246A"/>
    <w:rsid w:val="60476847"/>
    <w:rsid w:val="606329E7"/>
    <w:rsid w:val="606C6E90"/>
    <w:rsid w:val="60720670"/>
    <w:rsid w:val="60743A6C"/>
    <w:rsid w:val="60796474"/>
    <w:rsid w:val="608E0279"/>
    <w:rsid w:val="60BC75C0"/>
    <w:rsid w:val="60C76042"/>
    <w:rsid w:val="60E2662F"/>
    <w:rsid w:val="60F729B1"/>
    <w:rsid w:val="612017FF"/>
    <w:rsid w:val="61213592"/>
    <w:rsid w:val="617B1AF2"/>
    <w:rsid w:val="618D48BC"/>
    <w:rsid w:val="61AC68AE"/>
    <w:rsid w:val="61AF44CB"/>
    <w:rsid w:val="61B32EB3"/>
    <w:rsid w:val="61DD7E4A"/>
    <w:rsid w:val="61E55309"/>
    <w:rsid w:val="61EA515B"/>
    <w:rsid w:val="61ED5865"/>
    <w:rsid w:val="61EF5BCF"/>
    <w:rsid w:val="620251C6"/>
    <w:rsid w:val="62072DC0"/>
    <w:rsid w:val="620F38CD"/>
    <w:rsid w:val="62263C22"/>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397FA0"/>
    <w:rsid w:val="634B1BBC"/>
    <w:rsid w:val="63566DAF"/>
    <w:rsid w:val="635A3219"/>
    <w:rsid w:val="637846F9"/>
    <w:rsid w:val="638012B9"/>
    <w:rsid w:val="63833E4F"/>
    <w:rsid w:val="63AA9709"/>
    <w:rsid w:val="63C13032"/>
    <w:rsid w:val="63CC4876"/>
    <w:rsid w:val="63CF61F5"/>
    <w:rsid w:val="63F06D02"/>
    <w:rsid w:val="63F298C7"/>
    <w:rsid w:val="64015267"/>
    <w:rsid w:val="640202B0"/>
    <w:rsid w:val="642158B8"/>
    <w:rsid w:val="64256E1C"/>
    <w:rsid w:val="642732A1"/>
    <w:rsid w:val="642D72A3"/>
    <w:rsid w:val="64300B2F"/>
    <w:rsid w:val="643D6E01"/>
    <w:rsid w:val="64494765"/>
    <w:rsid w:val="644B5969"/>
    <w:rsid w:val="647A74F6"/>
    <w:rsid w:val="647E189B"/>
    <w:rsid w:val="6490429B"/>
    <w:rsid w:val="64906E0C"/>
    <w:rsid w:val="64964044"/>
    <w:rsid w:val="64A35284"/>
    <w:rsid w:val="64AA5431"/>
    <w:rsid w:val="64B258F4"/>
    <w:rsid w:val="64BD3A14"/>
    <w:rsid w:val="64DA6FAB"/>
    <w:rsid w:val="64E31488"/>
    <w:rsid w:val="64E56156"/>
    <w:rsid w:val="64E63739"/>
    <w:rsid w:val="64E95FA8"/>
    <w:rsid w:val="64F473DD"/>
    <w:rsid w:val="650A1317"/>
    <w:rsid w:val="650B5081"/>
    <w:rsid w:val="6523573D"/>
    <w:rsid w:val="652D0C1F"/>
    <w:rsid w:val="653127E3"/>
    <w:rsid w:val="654442E0"/>
    <w:rsid w:val="655004B1"/>
    <w:rsid w:val="656A1BCD"/>
    <w:rsid w:val="656F573E"/>
    <w:rsid w:val="6578453C"/>
    <w:rsid w:val="657C0ECD"/>
    <w:rsid w:val="659D391C"/>
    <w:rsid w:val="65C80615"/>
    <w:rsid w:val="65EB0F6D"/>
    <w:rsid w:val="66003207"/>
    <w:rsid w:val="6610477E"/>
    <w:rsid w:val="661752D9"/>
    <w:rsid w:val="661E9429"/>
    <w:rsid w:val="662315AA"/>
    <w:rsid w:val="662F1009"/>
    <w:rsid w:val="664428BF"/>
    <w:rsid w:val="664B6253"/>
    <w:rsid w:val="665929F2"/>
    <w:rsid w:val="66621ECD"/>
    <w:rsid w:val="66655503"/>
    <w:rsid w:val="6672630C"/>
    <w:rsid w:val="66850C0A"/>
    <w:rsid w:val="668C77C3"/>
    <w:rsid w:val="668F4482"/>
    <w:rsid w:val="66A13636"/>
    <w:rsid w:val="66B01AB5"/>
    <w:rsid w:val="66B141DC"/>
    <w:rsid w:val="66BD2300"/>
    <w:rsid w:val="66C1100A"/>
    <w:rsid w:val="66CF5564"/>
    <w:rsid w:val="66D45CDD"/>
    <w:rsid w:val="66D66AC5"/>
    <w:rsid w:val="66D72064"/>
    <w:rsid w:val="66EF4E9B"/>
    <w:rsid w:val="66F31F63"/>
    <w:rsid w:val="6700790A"/>
    <w:rsid w:val="670378F6"/>
    <w:rsid w:val="670D4FD2"/>
    <w:rsid w:val="671A4DDD"/>
    <w:rsid w:val="672700DA"/>
    <w:rsid w:val="67277FC8"/>
    <w:rsid w:val="673A5CF7"/>
    <w:rsid w:val="67672ABA"/>
    <w:rsid w:val="677B4C28"/>
    <w:rsid w:val="679B084A"/>
    <w:rsid w:val="679C46F5"/>
    <w:rsid w:val="67B51C00"/>
    <w:rsid w:val="67BA6A67"/>
    <w:rsid w:val="67CF591E"/>
    <w:rsid w:val="67D665DC"/>
    <w:rsid w:val="67D718EC"/>
    <w:rsid w:val="67D85628"/>
    <w:rsid w:val="67DDB41F"/>
    <w:rsid w:val="67E12EC3"/>
    <w:rsid w:val="67FBC68B"/>
    <w:rsid w:val="6804273A"/>
    <w:rsid w:val="68046A5D"/>
    <w:rsid w:val="680C2A36"/>
    <w:rsid w:val="680C7AA7"/>
    <w:rsid w:val="682C4EAE"/>
    <w:rsid w:val="683E368C"/>
    <w:rsid w:val="6847596D"/>
    <w:rsid w:val="684A6F24"/>
    <w:rsid w:val="68550DB9"/>
    <w:rsid w:val="6856768B"/>
    <w:rsid w:val="6857350C"/>
    <w:rsid w:val="685773B0"/>
    <w:rsid w:val="685E0FA3"/>
    <w:rsid w:val="686C2160"/>
    <w:rsid w:val="686E391E"/>
    <w:rsid w:val="687415F0"/>
    <w:rsid w:val="687E18C2"/>
    <w:rsid w:val="688D1A9A"/>
    <w:rsid w:val="68983F3F"/>
    <w:rsid w:val="689B1589"/>
    <w:rsid w:val="68A6730E"/>
    <w:rsid w:val="68BA0E02"/>
    <w:rsid w:val="68C74BFD"/>
    <w:rsid w:val="68C76521"/>
    <w:rsid w:val="68DA0494"/>
    <w:rsid w:val="68E143E7"/>
    <w:rsid w:val="68E464BC"/>
    <w:rsid w:val="68E67A18"/>
    <w:rsid w:val="68EA195C"/>
    <w:rsid w:val="68F36AD9"/>
    <w:rsid w:val="691D38B9"/>
    <w:rsid w:val="694036BC"/>
    <w:rsid w:val="69413541"/>
    <w:rsid w:val="695E74D5"/>
    <w:rsid w:val="69797C2C"/>
    <w:rsid w:val="69983703"/>
    <w:rsid w:val="69B9178D"/>
    <w:rsid w:val="69BF060C"/>
    <w:rsid w:val="69D44E75"/>
    <w:rsid w:val="6A0A38E6"/>
    <w:rsid w:val="6A1750BE"/>
    <w:rsid w:val="6A2F624F"/>
    <w:rsid w:val="6A320CB0"/>
    <w:rsid w:val="6A507322"/>
    <w:rsid w:val="6A57FD62"/>
    <w:rsid w:val="6A5E00D8"/>
    <w:rsid w:val="6A724407"/>
    <w:rsid w:val="6A7B433D"/>
    <w:rsid w:val="6A9F55FE"/>
    <w:rsid w:val="6ABA2CEC"/>
    <w:rsid w:val="6ACF42D9"/>
    <w:rsid w:val="6ADF1CF0"/>
    <w:rsid w:val="6AED4904"/>
    <w:rsid w:val="6AF068CE"/>
    <w:rsid w:val="6AFC5C0F"/>
    <w:rsid w:val="6B027B91"/>
    <w:rsid w:val="6B100BC3"/>
    <w:rsid w:val="6B2146C1"/>
    <w:rsid w:val="6B241D9B"/>
    <w:rsid w:val="6B261242"/>
    <w:rsid w:val="6B3055CD"/>
    <w:rsid w:val="6B437A76"/>
    <w:rsid w:val="6B47388C"/>
    <w:rsid w:val="6B577089"/>
    <w:rsid w:val="6B58643F"/>
    <w:rsid w:val="6B5A3D5E"/>
    <w:rsid w:val="6B674548"/>
    <w:rsid w:val="6B703E2D"/>
    <w:rsid w:val="6B9509BD"/>
    <w:rsid w:val="6B9F44A0"/>
    <w:rsid w:val="6BBB34CC"/>
    <w:rsid w:val="6BC94603"/>
    <w:rsid w:val="6BDF21DD"/>
    <w:rsid w:val="6BE1A904"/>
    <w:rsid w:val="6BE794D5"/>
    <w:rsid w:val="6BEB7D63"/>
    <w:rsid w:val="6BF22C58"/>
    <w:rsid w:val="6BF307A3"/>
    <w:rsid w:val="6BF71630"/>
    <w:rsid w:val="6BF82CA8"/>
    <w:rsid w:val="6BFFED4D"/>
    <w:rsid w:val="6C035105"/>
    <w:rsid w:val="6C040201"/>
    <w:rsid w:val="6C044D7B"/>
    <w:rsid w:val="6C0A7675"/>
    <w:rsid w:val="6C11371B"/>
    <w:rsid w:val="6C155CA3"/>
    <w:rsid w:val="6C1954E5"/>
    <w:rsid w:val="6C30519E"/>
    <w:rsid w:val="6C340669"/>
    <w:rsid w:val="6C3B1211"/>
    <w:rsid w:val="6C534B21"/>
    <w:rsid w:val="6C6F1644"/>
    <w:rsid w:val="6C745974"/>
    <w:rsid w:val="6CA83DF7"/>
    <w:rsid w:val="6CAD0E87"/>
    <w:rsid w:val="6CED6020"/>
    <w:rsid w:val="6D162269"/>
    <w:rsid w:val="6D185857"/>
    <w:rsid w:val="6D193C8B"/>
    <w:rsid w:val="6D2115AE"/>
    <w:rsid w:val="6D22467B"/>
    <w:rsid w:val="6D254FA9"/>
    <w:rsid w:val="6D287CD0"/>
    <w:rsid w:val="6D361F62"/>
    <w:rsid w:val="6D383DD3"/>
    <w:rsid w:val="6D4F21E4"/>
    <w:rsid w:val="6D68295A"/>
    <w:rsid w:val="6D697654"/>
    <w:rsid w:val="6D7158E3"/>
    <w:rsid w:val="6D799AE8"/>
    <w:rsid w:val="6D7E7360"/>
    <w:rsid w:val="6D8B3C3B"/>
    <w:rsid w:val="6D967C55"/>
    <w:rsid w:val="6DA22EA8"/>
    <w:rsid w:val="6DA80A88"/>
    <w:rsid w:val="6DBC1843"/>
    <w:rsid w:val="6DBFA176"/>
    <w:rsid w:val="6DCB7E9A"/>
    <w:rsid w:val="6DCC641F"/>
    <w:rsid w:val="6DD144EC"/>
    <w:rsid w:val="6DED1C08"/>
    <w:rsid w:val="6DEE7A9D"/>
    <w:rsid w:val="6DF331D1"/>
    <w:rsid w:val="6DF70184"/>
    <w:rsid w:val="6E0A6B18"/>
    <w:rsid w:val="6E1C1ECF"/>
    <w:rsid w:val="6E207D23"/>
    <w:rsid w:val="6E480D43"/>
    <w:rsid w:val="6E6577FC"/>
    <w:rsid w:val="6E766906"/>
    <w:rsid w:val="6E82467D"/>
    <w:rsid w:val="6EBC1F7A"/>
    <w:rsid w:val="6EBE7D30"/>
    <w:rsid w:val="6EBF4EBD"/>
    <w:rsid w:val="6ED1305E"/>
    <w:rsid w:val="6EDE6175"/>
    <w:rsid w:val="6EE01391"/>
    <w:rsid w:val="6EE113A4"/>
    <w:rsid w:val="6EE26350"/>
    <w:rsid w:val="6EF8220D"/>
    <w:rsid w:val="6EFF0DCE"/>
    <w:rsid w:val="6F323F52"/>
    <w:rsid w:val="6F370614"/>
    <w:rsid w:val="6F5FD960"/>
    <w:rsid w:val="6F67321F"/>
    <w:rsid w:val="6F6C4A04"/>
    <w:rsid w:val="6F6DE763"/>
    <w:rsid w:val="6F7469B6"/>
    <w:rsid w:val="6F764B8A"/>
    <w:rsid w:val="6F7B99B1"/>
    <w:rsid w:val="6F7CA469"/>
    <w:rsid w:val="6F8F65A0"/>
    <w:rsid w:val="6F993118"/>
    <w:rsid w:val="6FB21CC1"/>
    <w:rsid w:val="6FB67CAC"/>
    <w:rsid w:val="6FB7F5B1"/>
    <w:rsid w:val="6FB924D4"/>
    <w:rsid w:val="6FCFD0A1"/>
    <w:rsid w:val="6FDF06C8"/>
    <w:rsid w:val="6FE8AD73"/>
    <w:rsid w:val="6FEFFC83"/>
    <w:rsid w:val="6FF5A2A5"/>
    <w:rsid w:val="6FF73C3B"/>
    <w:rsid w:val="701337DF"/>
    <w:rsid w:val="701D1A01"/>
    <w:rsid w:val="703C6F96"/>
    <w:rsid w:val="703E2E90"/>
    <w:rsid w:val="70437D94"/>
    <w:rsid w:val="704E73AD"/>
    <w:rsid w:val="705B2CC4"/>
    <w:rsid w:val="705D3407"/>
    <w:rsid w:val="706B1388"/>
    <w:rsid w:val="707B2E88"/>
    <w:rsid w:val="707E5720"/>
    <w:rsid w:val="70912CA4"/>
    <w:rsid w:val="70DF3EF5"/>
    <w:rsid w:val="70DF48EC"/>
    <w:rsid w:val="70E06799"/>
    <w:rsid w:val="70E4D1FC"/>
    <w:rsid w:val="70E5306C"/>
    <w:rsid w:val="70E84C6C"/>
    <w:rsid w:val="70EE7B55"/>
    <w:rsid w:val="70EF3A6B"/>
    <w:rsid w:val="70FA674D"/>
    <w:rsid w:val="710245F7"/>
    <w:rsid w:val="710515B5"/>
    <w:rsid w:val="710764C2"/>
    <w:rsid w:val="710B205E"/>
    <w:rsid w:val="7119655E"/>
    <w:rsid w:val="71290DE0"/>
    <w:rsid w:val="712A1375"/>
    <w:rsid w:val="71362F62"/>
    <w:rsid w:val="71416653"/>
    <w:rsid w:val="71607594"/>
    <w:rsid w:val="717B7324"/>
    <w:rsid w:val="717E613F"/>
    <w:rsid w:val="717F3E80"/>
    <w:rsid w:val="718930E7"/>
    <w:rsid w:val="719122BF"/>
    <w:rsid w:val="71935C7D"/>
    <w:rsid w:val="71AA7681"/>
    <w:rsid w:val="71BC7EA6"/>
    <w:rsid w:val="71F11CAE"/>
    <w:rsid w:val="71FB9A8E"/>
    <w:rsid w:val="720B4B5F"/>
    <w:rsid w:val="721C4D44"/>
    <w:rsid w:val="722C4FDE"/>
    <w:rsid w:val="72466968"/>
    <w:rsid w:val="72752E54"/>
    <w:rsid w:val="72D77D91"/>
    <w:rsid w:val="72D826FE"/>
    <w:rsid w:val="72D82ABE"/>
    <w:rsid w:val="72E075B5"/>
    <w:rsid w:val="72F92865"/>
    <w:rsid w:val="72FC1E33"/>
    <w:rsid w:val="73046DBD"/>
    <w:rsid w:val="73090D91"/>
    <w:rsid w:val="73114EB7"/>
    <w:rsid w:val="7332230D"/>
    <w:rsid w:val="733444C3"/>
    <w:rsid w:val="733609EF"/>
    <w:rsid w:val="733A6D35"/>
    <w:rsid w:val="73671E3F"/>
    <w:rsid w:val="73786E36"/>
    <w:rsid w:val="737C0941"/>
    <w:rsid w:val="737C2861"/>
    <w:rsid w:val="73837BE8"/>
    <w:rsid w:val="7399429B"/>
    <w:rsid w:val="73BF0864"/>
    <w:rsid w:val="73C017F4"/>
    <w:rsid w:val="73CC268A"/>
    <w:rsid w:val="73D20DDE"/>
    <w:rsid w:val="73D30271"/>
    <w:rsid w:val="73DB5A09"/>
    <w:rsid w:val="73E464D7"/>
    <w:rsid w:val="73E7573C"/>
    <w:rsid w:val="73ECEC67"/>
    <w:rsid w:val="73ED1E65"/>
    <w:rsid w:val="73F13AE7"/>
    <w:rsid w:val="73F36842"/>
    <w:rsid w:val="73FD4FAB"/>
    <w:rsid w:val="740B06CE"/>
    <w:rsid w:val="74143A67"/>
    <w:rsid w:val="74167847"/>
    <w:rsid w:val="741B5358"/>
    <w:rsid w:val="741F7631"/>
    <w:rsid w:val="742C648D"/>
    <w:rsid w:val="744A1D0A"/>
    <w:rsid w:val="744F1562"/>
    <w:rsid w:val="745FA1EB"/>
    <w:rsid w:val="746F1720"/>
    <w:rsid w:val="74916F5D"/>
    <w:rsid w:val="749530E7"/>
    <w:rsid w:val="74A05D67"/>
    <w:rsid w:val="74C77EB7"/>
    <w:rsid w:val="74CF73FD"/>
    <w:rsid w:val="74DB1F8C"/>
    <w:rsid w:val="74DC7528"/>
    <w:rsid w:val="74E60778"/>
    <w:rsid w:val="74F1655B"/>
    <w:rsid w:val="75080F4E"/>
    <w:rsid w:val="750B39FC"/>
    <w:rsid w:val="7513388E"/>
    <w:rsid w:val="7517409A"/>
    <w:rsid w:val="751E2DB2"/>
    <w:rsid w:val="7522359E"/>
    <w:rsid w:val="7532441A"/>
    <w:rsid w:val="753F4494"/>
    <w:rsid w:val="7549456C"/>
    <w:rsid w:val="755D381B"/>
    <w:rsid w:val="757E1090"/>
    <w:rsid w:val="759E4CA2"/>
    <w:rsid w:val="759E5E48"/>
    <w:rsid w:val="75A82AEB"/>
    <w:rsid w:val="75BF0D1E"/>
    <w:rsid w:val="75D25EEA"/>
    <w:rsid w:val="75D923B8"/>
    <w:rsid w:val="75EFE536"/>
    <w:rsid w:val="75F32F93"/>
    <w:rsid w:val="761105C8"/>
    <w:rsid w:val="7612407A"/>
    <w:rsid w:val="763F264A"/>
    <w:rsid w:val="765D2301"/>
    <w:rsid w:val="76652C2D"/>
    <w:rsid w:val="767A30CF"/>
    <w:rsid w:val="76824DA4"/>
    <w:rsid w:val="768F7938"/>
    <w:rsid w:val="769A3E41"/>
    <w:rsid w:val="76B45AA2"/>
    <w:rsid w:val="76BF600E"/>
    <w:rsid w:val="76BF608C"/>
    <w:rsid w:val="76C1367C"/>
    <w:rsid w:val="76C54C64"/>
    <w:rsid w:val="76D03950"/>
    <w:rsid w:val="76D04DF9"/>
    <w:rsid w:val="770FE942"/>
    <w:rsid w:val="771C566F"/>
    <w:rsid w:val="77380522"/>
    <w:rsid w:val="77526A67"/>
    <w:rsid w:val="775375AF"/>
    <w:rsid w:val="776B430B"/>
    <w:rsid w:val="776D717F"/>
    <w:rsid w:val="77835F0E"/>
    <w:rsid w:val="77893E6E"/>
    <w:rsid w:val="779223BD"/>
    <w:rsid w:val="779C3278"/>
    <w:rsid w:val="77A1668E"/>
    <w:rsid w:val="77AD971B"/>
    <w:rsid w:val="77B76ADD"/>
    <w:rsid w:val="77B95F79"/>
    <w:rsid w:val="77BFAF81"/>
    <w:rsid w:val="77CCB986"/>
    <w:rsid w:val="77DD5090"/>
    <w:rsid w:val="77DE2CF7"/>
    <w:rsid w:val="77EFFA82"/>
    <w:rsid w:val="77FB556C"/>
    <w:rsid w:val="77FD5A05"/>
    <w:rsid w:val="77FF102E"/>
    <w:rsid w:val="77FF3264"/>
    <w:rsid w:val="78027672"/>
    <w:rsid w:val="7806439B"/>
    <w:rsid w:val="78156E80"/>
    <w:rsid w:val="78285FD3"/>
    <w:rsid w:val="78437DCE"/>
    <w:rsid w:val="786B48F0"/>
    <w:rsid w:val="787E7648"/>
    <w:rsid w:val="78966FCF"/>
    <w:rsid w:val="789822F5"/>
    <w:rsid w:val="78A236C7"/>
    <w:rsid w:val="78C52436"/>
    <w:rsid w:val="78F53995"/>
    <w:rsid w:val="790D37DC"/>
    <w:rsid w:val="792D2A7B"/>
    <w:rsid w:val="79357CA6"/>
    <w:rsid w:val="7936053E"/>
    <w:rsid w:val="793A6250"/>
    <w:rsid w:val="793F4619"/>
    <w:rsid w:val="7956345A"/>
    <w:rsid w:val="79652465"/>
    <w:rsid w:val="796749D3"/>
    <w:rsid w:val="79912C69"/>
    <w:rsid w:val="799E6951"/>
    <w:rsid w:val="79BF3362"/>
    <w:rsid w:val="79E26883"/>
    <w:rsid w:val="79E62833"/>
    <w:rsid w:val="79E951A6"/>
    <w:rsid w:val="79FF0010"/>
    <w:rsid w:val="7A4A3D49"/>
    <w:rsid w:val="7A4C4606"/>
    <w:rsid w:val="7A5223BA"/>
    <w:rsid w:val="7A522FEA"/>
    <w:rsid w:val="7A7342EA"/>
    <w:rsid w:val="7A7418F1"/>
    <w:rsid w:val="7A7AAAB4"/>
    <w:rsid w:val="7A894796"/>
    <w:rsid w:val="7A8B0FFA"/>
    <w:rsid w:val="7A8E5CE1"/>
    <w:rsid w:val="7A9F3973"/>
    <w:rsid w:val="7AA17C39"/>
    <w:rsid w:val="7AB2682C"/>
    <w:rsid w:val="7AB30E7E"/>
    <w:rsid w:val="7ABF21F4"/>
    <w:rsid w:val="7AC23C3A"/>
    <w:rsid w:val="7AD11063"/>
    <w:rsid w:val="7AD358D2"/>
    <w:rsid w:val="7B032B1C"/>
    <w:rsid w:val="7B173BFA"/>
    <w:rsid w:val="7B1C4980"/>
    <w:rsid w:val="7B3A2D1E"/>
    <w:rsid w:val="7B69C372"/>
    <w:rsid w:val="7B6D6A98"/>
    <w:rsid w:val="7B777F9E"/>
    <w:rsid w:val="7B7F22C5"/>
    <w:rsid w:val="7B9A0167"/>
    <w:rsid w:val="7B9A4DB4"/>
    <w:rsid w:val="7B9C4E24"/>
    <w:rsid w:val="7BA650C3"/>
    <w:rsid w:val="7BA75723"/>
    <w:rsid w:val="7BBD7DF9"/>
    <w:rsid w:val="7BC40188"/>
    <w:rsid w:val="7BC51B47"/>
    <w:rsid w:val="7BCE2BAB"/>
    <w:rsid w:val="7BD7928C"/>
    <w:rsid w:val="7BDD093B"/>
    <w:rsid w:val="7BF3812E"/>
    <w:rsid w:val="7BF413D8"/>
    <w:rsid w:val="7C101B96"/>
    <w:rsid w:val="7C2CFB24"/>
    <w:rsid w:val="7C764052"/>
    <w:rsid w:val="7C801F46"/>
    <w:rsid w:val="7C9F787F"/>
    <w:rsid w:val="7CAB1AAB"/>
    <w:rsid w:val="7CBB40A0"/>
    <w:rsid w:val="7CCD4698"/>
    <w:rsid w:val="7CD10CAA"/>
    <w:rsid w:val="7CEFFB1C"/>
    <w:rsid w:val="7CFE983E"/>
    <w:rsid w:val="7CFEBE73"/>
    <w:rsid w:val="7CFF4A18"/>
    <w:rsid w:val="7D1C4CD8"/>
    <w:rsid w:val="7D217448"/>
    <w:rsid w:val="7D6EE7C1"/>
    <w:rsid w:val="7D793163"/>
    <w:rsid w:val="7D833C0B"/>
    <w:rsid w:val="7D8C6F97"/>
    <w:rsid w:val="7D900E94"/>
    <w:rsid w:val="7DC135CA"/>
    <w:rsid w:val="7DC41BD3"/>
    <w:rsid w:val="7DC54DD2"/>
    <w:rsid w:val="7DC7514A"/>
    <w:rsid w:val="7DCFBC93"/>
    <w:rsid w:val="7DD2457A"/>
    <w:rsid w:val="7DE54A3D"/>
    <w:rsid w:val="7DEF4B8A"/>
    <w:rsid w:val="7DFE2D4F"/>
    <w:rsid w:val="7DFE4BDC"/>
    <w:rsid w:val="7E09207F"/>
    <w:rsid w:val="7E113B9C"/>
    <w:rsid w:val="7E153874"/>
    <w:rsid w:val="7E2C1F7D"/>
    <w:rsid w:val="7E306664"/>
    <w:rsid w:val="7E36371C"/>
    <w:rsid w:val="7E3D7441"/>
    <w:rsid w:val="7E4464CA"/>
    <w:rsid w:val="7E470FAD"/>
    <w:rsid w:val="7E4D5B60"/>
    <w:rsid w:val="7E516D00"/>
    <w:rsid w:val="7E7942B4"/>
    <w:rsid w:val="7E7FCFCE"/>
    <w:rsid w:val="7E863A85"/>
    <w:rsid w:val="7E925694"/>
    <w:rsid w:val="7ED1488F"/>
    <w:rsid w:val="7ED87EB7"/>
    <w:rsid w:val="7EDB244F"/>
    <w:rsid w:val="7EEE5756"/>
    <w:rsid w:val="7EEF30DE"/>
    <w:rsid w:val="7EEF9155"/>
    <w:rsid w:val="7EF43574"/>
    <w:rsid w:val="7EFA5A48"/>
    <w:rsid w:val="7EFE3563"/>
    <w:rsid w:val="7EFF0B8C"/>
    <w:rsid w:val="7F041201"/>
    <w:rsid w:val="7F0B132C"/>
    <w:rsid w:val="7F0B37E5"/>
    <w:rsid w:val="7F19628C"/>
    <w:rsid w:val="7F242264"/>
    <w:rsid w:val="7F2E2967"/>
    <w:rsid w:val="7F336431"/>
    <w:rsid w:val="7F3E04CE"/>
    <w:rsid w:val="7F405826"/>
    <w:rsid w:val="7F593F8D"/>
    <w:rsid w:val="7F5E1F6A"/>
    <w:rsid w:val="7F690624"/>
    <w:rsid w:val="7F6D5701"/>
    <w:rsid w:val="7F7122D0"/>
    <w:rsid w:val="7F7741CA"/>
    <w:rsid w:val="7F7BEB51"/>
    <w:rsid w:val="7F7C2023"/>
    <w:rsid w:val="7F8E22D2"/>
    <w:rsid w:val="7F8EB141"/>
    <w:rsid w:val="7F9B128E"/>
    <w:rsid w:val="7F9D7897"/>
    <w:rsid w:val="7F9DCBF8"/>
    <w:rsid w:val="7FAB9594"/>
    <w:rsid w:val="7FB6A782"/>
    <w:rsid w:val="7FB77204"/>
    <w:rsid w:val="7FB7C8BB"/>
    <w:rsid w:val="7FBBB34C"/>
    <w:rsid w:val="7FBDC3E1"/>
    <w:rsid w:val="7FBE4C6A"/>
    <w:rsid w:val="7FBF4710"/>
    <w:rsid w:val="7FBF8360"/>
    <w:rsid w:val="7FBF906A"/>
    <w:rsid w:val="7FDD1C2E"/>
    <w:rsid w:val="7FDF5623"/>
    <w:rsid w:val="7FE3FA72"/>
    <w:rsid w:val="7FEF0CD3"/>
    <w:rsid w:val="7FEF5C47"/>
    <w:rsid w:val="7FEF857E"/>
    <w:rsid w:val="7FEFF755"/>
    <w:rsid w:val="7FF3055E"/>
    <w:rsid w:val="7FF36B99"/>
    <w:rsid w:val="7FFD1B03"/>
    <w:rsid w:val="7FFE034B"/>
    <w:rsid w:val="7FFF1AEE"/>
    <w:rsid w:val="7FFFA1A3"/>
    <w:rsid w:val="7FFFCA85"/>
    <w:rsid w:val="7FFFCBAA"/>
    <w:rsid w:val="7FFFE196"/>
    <w:rsid w:val="7FFFE40A"/>
    <w:rsid w:val="81F9C65B"/>
    <w:rsid w:val="87CDD812"/>
    <w:rsid w:val="8AFD1FC4"/>
    <w:rsid w:val="8DE7AAD5"/>
    <w:rsid w:val="8F571702"/>
    <w:rsid w:val="8FFFC1AE"/>
    <w:rsid w:val="989B6405"/>
    <w:rsid w:val="99FBB8A2"/>
    <w:rsid w:val="9D7DC7DD"/>
    <w:rsid w:val="9D970ED8"/>
    <w:rsid w:val="9DFB09AE"/>
    <w:rsid w:val="9DFDBF17"/>
    <w:rsid w:val="9FBFBFDE"/>
    <w:rsid w:val="9FF525D4"/>
    <w:rsid w:val="A17B7945"/>
    <w:rsid w:val="A37BAC4B"/>
    <w:rsid w:val="A76CE4BE"/>
    <w:rsid w:val="AAB268E9"/>
    <w:rsid w:val="ABEFAF9D"/>
    <w:rsid w:val="ACFF810D"/>
    <w:rsid w:val="AD9F16BC"/>
    <w:rsid w:val="AE5F7FC6"/>
    <w:rsid w:val="AE9B5E01"/>
    <w:rsid w:val="AEB973F4"/>
    <w:rsid w:val="AF6BA3EB"/>
    <w:rsid w:val="AFFF09CD"/>
    <w:rsid w:val="B0FEC441"/>
    <w:rsid w:val="B37F1DC1"/>
    <w:rsid w:val="B5F218B7"/>
    <w:rsid w:val="B68B75EF"/>
    <w:rsid w:val="B7777ACF"/>
    <w:rsid w:val="B7BE488F"/>
    <w:rsid w:val="B7D60C32"/>
    <w:rsid w:val="B7DD2C03"/>
    <w:rsid w:val="B7E703B9"/>
    <w:rsid w:val="B7EF6FC3"/>
    <w:rsid w:val="B8E30161"/>
    <w:rsid w:val="B93A6610"/>
    <w:rsid w:val="B96FF343"/>
    <w:rsid w:val="B9FF6763"/>
    <w:rsid w:val="BBF7B6D2"/>
    <w:rsid w:val="BC2FF777"/>
    <w:rsid w:val="BCDDAE46"/>
    <w:rsid w:val="BD7F6D6F"/>
    <w:rsid w:val="BDB76F72"/>
    <w:rsid w:val="BDBF3A5D"/>
    <w:rsid w:val="BEAB8477"/>
    <w:rsid w:val="BEDFC3BD"/>
    <w:rsid w:val="BEED33C0"/>
    <w:rsid w:val="BEFB26F5"/>
    <w:rsid w:val="BF495589"/>
    <w:rsid w:val="BF7EDCFD"/>
    <w:rsid w:val="BF9F102B"/>
    <w:rsid w:val="BFAF6CA4"/>
    <w:rsid w:val="BFDD26C6"/>
    <w:rsid w:val="BFFF47B0"/>
    <w:rsid w:val="C79F4BA7"/>
    <w:rsid w:val="C7BFE978"/>
    <w:rsid w:val="C9DDC237"/>
    <w:rsid w:val="CDDAECE1"/>
    <w:rsid w:val="CEB72675"/>
    <w:rsid w:val="CFBD304C"/>
    <w:rsid w:val="CFF81375"/>
    <w:rsid w:val="D2774E55"/>
    <w:rsid w:val="D4BEC5B3"/>
    <w:rsid w:val="D6DB43B2"/>
    <w:rsid w:val="D6FF1BCB"/>
    <w:rsid w:val="D6FF649A"/>
    <w:rsid w:val="D7674146"/>
    <w:rsid w:val="D7DE30CF"/>
    <w:rsid w:val="D7FDEAE1"/>
    <w:rsid w:val="D99B671C"/>
    <w:rsid w:val="D9EDB5AE"/>
    <w:rsid w:val="DAFBC165"/>
    <w:rsid w:val="DBC7118F"/>
    <w:rsid w:val="DBF34245"/>
    <w:rsid w:val="DD8C4366"/>
    <w:rsid w:val="DDFBF288"/>
    <w:rsid w:val="DF1BC47C"/>
    <w:rsid w:val="DF3D00FF"/>
    <w:rsid w:val="DF73CD16"/>
    <w:rsid w:val="DF73DEA3"/>
    <w:rsid w:val="DF7EDB0B"/>
    <w:rsid w:val="DFD77B7B"/>
    <w:rsid w:val="DFEF54AB"/>
    <w:rsid w:val="DFF52595"/>
    <w:rsid w:val="DFF7F665"/>
    <w:rsid w:val="DFFBC40A"/>
    <w:rsid w:val="DFFF90C2"/>
    <w:rsid w:val="E26FBEC9"/>
    <w:rsid w:val="E2F2A6FF"/>
    <w:rsid w:val="E3FB0835"/>
    <w:rsid w:val="E4DF6B04"/>
    <w:rsid w:val="E4FA9488"/>
    <w:rsid w:val="E5FF1729"/>
    <w:rsid w:val="E6EEB448"/>
    <w:rsid w:val="E76C20A3"/>
    <w:rsid w:val="E7BA4854"/>
    <w:rsid w:val="E7F6C654"/>
    <w:rsid w:val="E7F799EA"/>
    <w:rsid w:val="E7FF532D"/>
    <w:rsid w:val="EBBF1E05"/>
    <w:rsid w:val="EBFBBC88"/>
    <w:rsid w:val="EBFD6D22"/>
    <w:rsid w:val="ECBDA0FB"/>
    <w:rsid w:val="ECBEF141"/>
    <w:rsid w:val="ECE708D3"/>
    <w:rsid w:val="ECFCF96F"/>
    <w:rsid w:val="ED7658DF"/>
    <w:rsid w:val="ED794466"/>
    <w:rsid w:val="EDF7AAC6"/>
    <w:rsid w:val="EDFF0355"/>
    <w:rsid w:val="EDFF9272"/>
    <w:rsid w:val="EE3F3F1A"/>
    <w:rsid w:val="EE665F26"/>
    <w:rsid w:val="EE7FF441"/>
    <w:rsid w:val="EEA7D476"/>
    <w:rsid w:val="EEBDD7B2"/>
    <w:rsid w:val="EEFCBC51"/>
    <w:rsid w:val="EEFFF9B7"/>
    <w:rsid w:val="EF2FF539"/>
    <w:rsid w:val="EF9A867E"/>
    <w:rsid w:val="EFCE7ED1"/>
    <w:rsid w:val="EFDE02D7"/>
    <w:rsid w:val="EFFD20D2"/>
    <w:rsid w:val="EFFF68B3"/>
    <w:rsid w:val="F077A0F6"/>
    <w:rsid w:val="F0796D50"/>
    <w:rsid w:val="F0B9B503"/>
    <w:rsid w:val="F22FE0C5"/>
    <w:rsid w:val="F262FB47"/>
    <w:rsid w:val="F27986F9"/>
    <w:rsid w:val="F37F444A"/>
    <w:rsid w:val="F3EACB1F"/>
    <w:rsid w:val="F3FA6797"/>
    <w:rsid w:val="F4B7B381"/>
    <w:rsid w:val="F56F3A69"/>
    <w:rsid w:val="F5DD9509"/>
    <w:rsid w:val="F5FA748D"/>
    <w:rsid w:val="F65EDF28"/>
    <w:rsid w:val="F69EF719"/>
    <w:rsid w:val="F6FB603B"/>
    <w:rsid w:val="F74A7907"/>
    <w:rsid w:val="F75BC4D2"/>
    <w:rsid w:val="F769002A"/>
    <w:rsid w:val="F76A2B58"/>
    <w:rsid w:val="F779387A"/>
    <w:rsid w:val="F79F3939"/>
    <w:rsid w:val="F7AF8810"/>
    <w:rsid w:val="F7CB3CD1"/>
    <w:rsid w:val="F7D7C94D"/>
    <w:rsid w:val="F7DFF02A"/>
    <w:rsid w:val="F7EE8837"/>
    <w:rsid w:val="F7EF2283"/>
    <w:rsid w:val="F7F1F15B"/>
    <w:rsid w:val="F7F7E718"/>
    <w:rsid w:val="F8BF46D6"/>
    <w:rsid w:val="F8FF0498"/>
    <w:rsid w:val="F9FF1A49"/>
    <w:rsid w:val="FA7C8A0F"/>
    <w:rsid w:val="FA7FDDAE"/>
    <w:rsid w:val="FB1D6F5E"/>
    <w:rsid w:val="FB557D3A"/>
    <w:rsid w:val="FB6BA6B5"/>
    <w:rsid w:val="FB79DB6D"/>
    <w:rsid w:val="FB7D24F5"/>
    <w:rsid w:val="FBDB8CDB"/>
    <w:rsid w:val="FBE0C1D6"/>
    <w:rsid w:val="FBF367F0"/>
    <w:rsid w:val="FBFE3256"/>
    <w:rsid w:val="FBFF1CE4"/>
    <w:rsid w:val="FCF7E086"/>
    <w:rsid w:val="FD921A74"/>
    <w:rsid w:val="FD9F53E4"/>
    <w:rsid w:val="FDBB5233"/>
    <w:rsid w:val="FDBF0137"/>
    <w:rsid w:val="FDBFA3D8"/>
    <w:rsid w:val="FDCF1CB4"/>
    <w:rsid w:val="FDDF565C"/>
    <w:rsid w:val="FDE6F83A"/>
    <w:rsid w:val="FDE7022C"/>
    <w:rsid w:val="FDEB92A1"/>
    <w:rsid w:val="FDF3E11C"/>
    <w:rsid w:val="FE3A3E2F"/>
    <w:rsid w:val="FE5F8818"/>
    <w:rsid w:val="FE7B3D75"/>
    <w:rsid w:val="FE7E9C8B"/>
    <w:rsid w:val="FEB74783"/>
    <w:rsid w:val="FED49655"/>
    <w:rsid w:val="FEEE498C"/>
    <w:rsid w:val="FEF343D7"/>
    <w:rsid w:val="FEF55393"/>
    <w:rsid w:val="FEFDF08C"/>
    <w:rsid w:val="FEFF84E0"/>
    <w:rsid w:val="FEFF9F00"/>
    <w:rsid w:val="FEFFACAE"/>
    <w:rsid w:val="FF1F8EE6"/>
    <w:rsid w:val="FF2D02B1"/>
    <w:rsid w:val="FF33DB9B"/>
    <w:rsid w:val="FF3E6C09"/>
    <w:rsid w:val="FF4B54E5"/>
    <w:rsid w:val="FF7F469B"/>
    <w:rsid w:val="FF9ACE86"/>
    <w:rsid w:val="FFA6F598"/>
    <w:rsid w:val="FFA78940"/>
    <w:rsid w:val="FFAFFFD1"/>
    <w:rsid w:val="FFB33CB1"/>
    <w:rsid w:val="FFB75634"/>
    <w:rsid w:val="FFBD3C9D"/>
    <w:rsid w:val="FFBF9ED0"/>
    <w:rsid w:val="FFD71A61"/>
    <w:rsid w:val="FFD9E0AE"/>
    <w:rsid w:val="FFDE77D6"/>
    <w:rsid w:val="FFEA790F"/>
    <w:rsid w:val="FFEF3ACE"/>
    <w:rsid w:val="FFEF459A"/>
    <w:rsid w:val="FFF2A7FF"/>
    <w:rsid w:val="FFF75E40"/>
    <w:rsid w:val="FFFF0345"/>
    <w:rsid w:val="FFFF09A7"/>
    <w:rsid w:val="FFFF2E88"/>
    <w:rsid w:val="FFFF44A4"/>
    <w:rsid w:val="FFFF769F"/>
    <w:rsid w:val="FFFF86EF"/>
    <w:rsid w:val="FFFFC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
    <w:link w:val="208"/>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link w:val="205"/>
    <w:qFormat/>
    <w:uiPriority w:val="0"/>
    <w:pPr>
      <w:adjustRightInd/>
      <w:spacing w:after="180" w:line="240" w:lineRule="auto"/>
      <w:ind w:left="568" w:hanging="284"/>
    </w:pPr>
    <w:rPr>
      <w:szCs w:val="20"/>
      <w:lang w:val="en-GB"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0"/>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23"/>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23"/>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1779</Words>
  <Characters>8827</Characters>
  <Lines>86</Lines>
  <Paragraphs>24</Paragraphs>
  <TotalTime>4</TotalTime>
  <ScaleCrop>false</ScaleCrop>
  <LinksUpToDate>false</LinksUpToDate>
  <CharactersWithSpaces>10574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2020-08-11T09:38:00Z</dcterms:created>
  <dc:creator>QiuZhihong</dc:creator>
  <cp:lastModifiedBy>Luyang Zhao-CMCC</cp:lastModifiedBy>
  <cp:lastPrinted>2018-10-02T14:47:00Z</cp:lastPrinted>
  <dcterms:modified xsi:type="dcterms:W3CDTF">2024-08-09T08:44:28Z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267FF75621A842A49B606E8DE82D0320_13</vt:lpwstr>
  </property>
</Properties>
</file>